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4DB05" w14:textId="17F9790F" w:rsidR="00456A18" w:rsidRDefault="00456A18">
      <w:pPr>
        <w:rPr>
          <w:rFonts w:ascii="Arial" w:hAnsi="Arial" w:cs="Arial"/>
        </w:rPr>
      </w:pPr>
      <w:r w:rsidRPr="00071072">
        <w:rPr>
          <w:rFonts w:ascii="Arial" w:hAnsi="Arial" w:cs="Arial"/>
          <w:noProof/>
        </w:rPr>
        <w:drawing>
          <wp:anchor distT="0" distB="0" distL="114300" distR="114300" simplePos="0" relativeHeight="251658240" behindDoc="1" locked="0" layoutInCell="1" allowOverlap="1" wp14:anchorId="49068C58" wp14:editId="6FF4C6D2">
            <wp:simplePos x="0" y="0"/>
            <wp:positionH relativeFrom="column">
              <wp:posOffset>-1129004</wp:posOffset>
            </wp:positionH>
            <wp:positionV relativeFrom="paragraph">
              <wp:posOffset>-900405</wp:posOffset>
            </wp:positionV>
            <wp:extent cx="7790815" cy="10039739"/>
            <wp:effectExtent l="0" t="0" r="63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03591" cy="100562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52B60" w14:textId="0F00F3D4" w:rsidR="00456A18" w:rsidRDefault="00456A18">
      <w:pPr>
        <w:rPr>
          <w:rFonts w:ascii="Arial" w:hAnsi="Arial" w:cs="Arial"/>
        </w:rPr>
      </w:pPr>
    </w:p>
    <w:p w14:paraId="24EDEB37" w14:textId="004952C8" w:rsidR="00456A18" w:rsidRDefault="00456A18">
      <w:pPr>
        <w:rPr>
          <w:rFonts w:ascii="Arial" w:hAnsi="Arial" w:cs="Arial"/>
        </w:rPr>
      </w:pPr>
    </w:p>
    <w:p w14:paraId="09F73138" w14:textId="77777777" w:rsidR="00456A18" w:rsidRDefault="00456A18">
      <w:pPr>
        <w:rPr>
          <w:rFonts w:ascii="Arial" w:hAnsi="Arial" w:cs="Arial"/>
        </w:rPr>
      </w:pPr>
    </w:p>
    <w:p w14:paraId="2AD44F25" w14:textId="77777777" w:rsidR="00456A18" w:rsidRDefault="00456A18" w:rsidP="00456A18">
      <w:pPr>
        <w:jc w:val="center"/>
        <w:rPr>
          <w:rFonts w:ascii="Arial" w:hAnsi="Arial" w:cs="Arial"/>
          <w:sz w:val="32"/>
          <w:szCs w:val="32"/>
        </w:rPr>
      </w:pPr>
    </w:p>
    <w:p w14:paraId="785C9B45" w14:textId="77777777" w:rsidR="00456A18" w:rsidRDefault="00456A18" w:rsidP="00456A18">
      <w:pPr>
        <w:jc w:val="center"/>
        <w:rPr>
          <w:rFonts w:ascii="Arial" w:hAnsi="Arial" w:cs="Arial"/>
          <w:sz w:val="32"/>
          <w:szCs w:val="32"/>
        </w:rPr>
      </w:pPr>
    </w:p>
    <w:p w14:paraId="66AF10C2" w14:textId="77777777" w:rsidR="00456A18" w:rsidRDefault="00456A18" w:rsidP="00456A18">
      <w:pPr>
        <w:jc w:val="center"/>
        <w:rPr>
          <w:rFonts w:ascii="Arial" w:hAnsi="Arial" w:cs="Arial"/>
          <w:sz w:val="32"/>
          <w:szCs w:val="32"/>
        </w:rPr>
      </w:pPr>
    </w:p>
    <w:p w14:paraId="029EEA15" w14:textId="77777777" w:rsidR="00456A18" w:rsidRDefault="00456A18" w:rsidP="00456A18">
      <w:pPr>
        <w:jc w:val="center"/>
        <w:rPr>
          <w:rFonts w:ascii="Arial" w:hAnsi="Arial" w:cs="Arial"/>
          <w:sz w:val="32"/>
          <w:szCs w:val="32"/>
        </w:rPr>
      </w:pPr>
    </w:p>
    <w:p w14:paraId="3714D7A7" w14:textId="77777777" w:rsidR="00394117" w:rsidRDefault="00143BD5" w:rsidP="00456A18">
      <w:pPr>
        <w:jc w:val="center"/>
        <w:rPr>
          <w:rFonts w:ascii="Arial" w:hAnsi="Arial" w:cs="Arial"/>
          <w:sz w:val="48"/>
          <w:szCs w:val="48"/>
        </w:rPr>
      </w:pPr>
      <w:r w:rsidRPr="00456A18">
        <w:rPr>
          <w:rFonts w:ascii="Arial" w:hAnsi="Arial" w:cs="Arial"/>
          <w:sz w:val="48"/>
          <w:szCs w:val="48"/>
        </w:rPr>
        <w:t>Cadre</w:t>
      </w:r>
      <w:r w:rsidR="00D536D9" w:rsidRPr="00456A18">
        <w:rPr>
          <w:rFonts w:ascii="Arial" w:hAnsi="Arial" w:cs="Arial"/>
          <w:sz w:val="48"/>
          <w:szCs w:val="48"/>
        </w:rPr>
        <w:t xml:space="preserve"> de vitalisation de la </w:t>
      </w:r>
    </w:p>
    <w:p w14:paraId="0562E189" w14:textId="3F3388D3" w:rsidR="00D64909" w:rsidRPr="00456A18" w:rsidRDefault="00D536D9" w:rsidP="00456A18">
      <w:pPr>
        <w:jc w:val="center"/>
        <w:rPr>
          <w:rFonts w:ascii="Arial" w:hAnsi="Arial" w:cs="Arial"/>
          <w:sz w:val="48"/>
          <w:szCs w:val="48"/>
        </w:rPr>
      </w:pPr>
      <w:r w:rsidRPr="00456A18">
        <w:rPr>
          <w:rFonts w:ascii="Arial" w:hAnsi="Arial" w:cs="Arial"/>
          <w:sz w:val="48"/>
          <w:szCs w:val="48"/>
        </w:rPr>
        <w:t>MRC de Témiscouata</w:t>
      </w:r>
    </w:p>
    <w:p w14:paraId="3D73019D" w14:textId="4626CE04" w:rsidR="00D536D9" w:rsidRPr="00071072" w:rsidRDefault="00D536D9">
      <w:pPr>
        <w:rPr>
          <w:rFonts w:ascii="Arial" w:hAnsi="Arial" w:cs="Arial"/>
        </w:rPr>
      </w:pPr>
    </w:p>
    <w:p w14:paraId="58FB89E4" w14:textId="13BD9CC1" w:rsidR="00D536D9" w:rsidRDefault="00D536D9">
      <w:pPr>
        <w:rPr>
          <w:rFonts w:ascii="Arial" w:hAnsi="Arial" w:cs="Arial"/>
        </w:rPr>
      </w:pPr>
    </w:p>
    <w:p w14:paraId="6C336729" w14:textId="63C1318C" w:rsidR="00456A18" w:rsidRDefault="00456A18">
      <w:pPr>
        <w:rPr>
          <w:rFonts w:ascii="Arial" w:hAnsi="Arial" w:cs="Arial"/>
        </w:rPr>
      </w:pPr>
    </w:p>
    <w:p w14:paraId="0596A1C7" w14:textId="7EC90191" w:rsidR="00456A18" w:rsidRDefault="00456A18">
      <w:pPr>
        <w:rPr>
          <w:rFonts w:ascii="Arial" w:hAnsi="Arial" w:cs="Arial"/>
        </w:rPr>
      </w:pPr>
    </w:p>
    <w:p w14:paraId="004E1350" w14:textId="4E478C73" w:rsidR="00456A18" w:rsidRDefault="00456A18">
      <w:pPr>
        <w:rPr>
          <w:rFonts w:ascii="Arial" w:hAnsi="Arial" w:cs="Arial"/>
        </w:rPr>
      </w:pPr>
    </w:p>
    <w:p w14:paraId="29E3EDF3" w14:textId="282C40CC" w:rsidR="00456A18" w:rsidRDefault="00456A18">
      <w:pPr>
        <w:rPr>
          <w:rFonts w:ascii="Arial" w:hAnsi="Arial" w:cs="Arial"/>
        </w:rPr>
      </w:pPr>
    </w:p>
    <w:p w14:paraId="44BE8A75" w14:textId="5CD274C2" w:rsidR="00456A18" w:rsidRDefault="00456A18">
      <w:pPr>
        <w:rPr>
          <w:rFonts w:ascii="Arial" w:hAnsi="Arial" w:cs="Arial"/>
        </w:rPr>
      </w:pPr>
    </w:p>
    <w:p w14:paraId="10D6108B" w14:textId="7F4564B5" w:rsidR="00456A18" w:rsidRDefault="00456A18">
      <w:pPr>
        <w:rPr>
          <w:rFonts w:ascii="Arial" w:hAnsi="Arial" w:cs="Arial"/>
        </w:rPr>
      </w:pPr>
    </w:p>
    <w:p w14:paraId="5E2ABDEF" w14:textId="28C554B7" w:rsidR="00456A18" w:rsidRDefault="00456A18">
      <w:pPr>
        <w:rPr>
          <w:rFonts w:ascii="Arial" w:hAnsi="Arial" w:cs="Arial"/>
        </w:rPr>
      </w:pPr>
    </w:p>
    <w:p w14:paraId="354FB09F" w14:textId="77777777" w:rsidR="00456A18" w:rsidRPr="00071072" w:rsidRDefault="00456A18">
      <w:pPr>
        <w:rPr>
          <w:rFonts w:ascii="Arial" w:hAnsi="Arial" w:cs="Arial"/>
        </w:rPr>
      </w:pPr>
    </w:p>
    <w:p w14:paraId="44E5DF19" w14:textId="496FAFBD" w:rsidR="00D536D9" w:rsidRDefault="00CA553E" w:rsidP="00CA553E">
      <w:pPr>
        <w:spacing w:after="0"/>
        <w:jc w:val="center"/>
        <w:rPr>
          <w:rFonts w:ascii="Arial" w:hAnsi="Arial" w:cs="Arial"/>
        </w:rPr>
      </w:pPr>
      <w:r>
        <w:rPr>
          <w:rFonts w:ascii="Arial" w:hAnsi="Arial" w:cs="Arial"/>
        </w:rPr>
        <w:t>12</w:t>
      </w:r>
      <w:r w:rsidR="00D536D9" w:rsidRPr="00071072">
        <w:rPr>
          <w:rFonts w:ascii="Arial" w:hAnsi="Arial" w:cs="Arial"/>
        </w:rPr>
        <w:t xml:space="preserve"> </w:t>
      </w:r>
      <w:r w:rsidR="0057486E">
        <w:rPr>
          <w:rFonts w:ascii="Arial" w:hAnsi="Arial" w:cs="Arial"/>
        </w:rPr>
        <w:t>avril 2021</w:t>
      </w:r>
    </w:p>
    <w:p w14:paraId="5CB5BADA" w14:textId="18A1D684" w:rsidR="00CA553E" w:rsidRPr="00071072" w:rsidRDefault="00CA553E" w:rsidP="00456A18">
      <w:pPr>
        <w:jc w:val="center"/>
        <w:rPr>
          <w:rFonts w:ascii="Arial" w:hAnsi="Arial" w:cs="Arial"/>
        </w:rPr>
      </w:pPr>
      <w:r>
        <w:rPr>
          <w:rFonts w:ascii="Arial" w:hAnsi="Arial" w:cs="Arial"/>
        </w:rPr>
        <w:t>RS-065-21</w:t>
      </w:r>
    </w:p>
    <w:p w14:paraId="1F6A5DEF" w14:textId="77777777" w:rsidR="00D536D9" w:rsidRDefault="00D536D9"/>
    <w:p w14:paraId="4EA25BD6" w14:textId="77777777" w:rsidR="00D536D9" w:rsidRDefault="00D536D9">
      <w:r>
        <w:br w:type="page"/>
      </w:r>
    </w:p>
    <w:sdt>
      <w:sdtPr>
        <w:rPr>
          <w:rFonts w:ascii="Arial" w:eastAsiaTheme="minorHAnsi" w:hAnsi="Arial" w:cs="Arial"/>
          <w:color w:val="auto"/>
          <w:sz w:val="22"/>
          <w:szCs w:val="22"/>
          <w:lang w:val="fr-FR" w:eastAsia="en-US"/>
        </w:rPr>
        <w:id w:val="1715071357"/>
        <w:docPartObj>
          <w:docPartGallery w:val="Table of Contents"/>
          <w:docPartUnique/>
        </w:docPartObj>
      </w:sdtPr>
      <w:sdtEndPr>
        <w:rPr>
          <w:b/>
          <w:bCs/>
        </w:rPr>
      </w:sdtEndPr>
      <w:sdtContent>
        <w:p w14:paraId="7AD890F3" w14:textId="29E4DDA1" w:rsidR="00A97155" w:rsidRPr="00456A18" w:rsidRDefault="00A97155">
          <w:pPr>
            <w:pStyle w:val="En-ttedetabledesmatires"/>
            <w:rPr>
              <w:rFonts w:ascii="Arial" w:hAnsi="Arial" w:cs="Arial"/>
            </w:rPr>
          </w:pPr>
          <w:r w:rsidRPr="00456A18">
            <w:rPr>
              <w:rFonts w:ascii="Arial" w:hAnsi="Arial" w:cs="Arial"/>
              <w:lang w:val="fr-FR"/>
            </w:rPr>
            <w:t>Table des matières</w:t>
          </w:r>
        </w:p>
        <w:p w14:paraId="44F9E8DD" w14:textId="6348CF07" w:rsidR="00B95704" w:rsidRDefault="00A97155">
          <w:pPr>
            <w:pStyle w:val="TM1"/>
            <w:tabs>
              <w:tab w:val="right" w:leader="dot" w:pos="8630"/>
            </w:tabs>
            <w:rPr>
              <w:rFonts w:eastAsiaTheme="minorEastAsia"/>
              <w:noProof/>
              <w:lang w:eastAsia="fr-CA"/>
            </w:rPr>
          </w:pPr>
          <w:r w:rsidRPr="00456A18">
            <w:rPr>
              <w:rFonts w:ascii="Arial" w:hAnsi="Arial" w:cs="Arial"/>
            </w:rPr>
            <w:fldChar w:fldCharType="begin"/>
          </w:r>
          <w:r w:rsidRPr="00456A18">
            <w:rPr>
              <w:rFonts w:ascii="Arial" w:hAnsi="Arial" w:cs="Arial"/>
            </w:rPr>
            <w:instrText xml:space="preserve"> TOC \o "1-3" \h \z \u </w:instrText>
          </w:r>
          <w:r w:rsidRPr="00456A18">
            <w:rPr>
              <w:rFonts w:ascii="Arial" w:hAnsi="Arial" w:cs="Arial"/>
            </w:rPr>
            <w:fldChar w:fldCharType="separate"/>
          </w:r>
          <w:hyperlink w:anchor="_Toc66453611" w:history="1">
            <w:r w:rsidR="00B95704" w:rsidRPr="00686962">
              <w:rPr>
                <w:rStyle w:val="Lienhypertexte"/>
                <w:rFonts w:ascii="Arial" w:hAnsi="Arial" w:cs="Arial"/>
                <w:noProof/>
              </w:rPr>
              <w:t>INTRODUCTION</w:t>
            </w:r>
            <w:r w:rsidR="00B95704">
              <w:rPr>
                <w:noProof/>
                <w:webHidden/>
              </w:rPr>
              <w:tab/>
            </w:r>
            <w:r w:rsidR="00B95704">
              <w:rPr>
                <w:noProof/>
                <w:webHidden/>
              </w:rPr>
              <w:fldChar w:fldCharType="begin"/>
            </w:r>
            <w:r w:rsidR="00B95704">
              <w:rPr>
                <w:noProof/>
                <w:webHidden/>
              </w:rPr>
              <w:instrText xml:space="preserve"> PAGEREF _Toc66453611 \h </w:instrText>
            </w:r>
            <w:r w:rsidR="00B95704">
              <w:rPr>
                <w:noProof/>
                <w:webHidden/>
              </w:rPr>
            </w:r>
            <w:r w:rsidR="00B95704">
              <w:rPr>
                <w:noProof/>
                <w:webHidden/>
              </w:rPr>
              <w:fldChar w:fldCharType="separate"/>
            </w:r>
            <w:r w:rsidR="003A7834">
              <w:rPr>
                <w:noProof/>
                <w:webHidden/>
              </w:rPr>
              <w:t>3</w:t>
            </w:r>
            <w:r w:rsidR="00B95704">
              <w:rPr>
                <w:noProof/>
                <w:webHidden/>
              </w:rPr>
              <w:fldChar w:fldCharType="end"/>
            </w:r>
          </w:hyperlink>
        </w:p>
        <w:p w14:paraId="426733FC" w14:textId="43D4792B" w:rsidR="00B95704" w:rsidRDefault="005828A8">
          <w:pPr>
            <w:pStyle w:val="TM2"/>
            <w:tabs>
              <w:tab w:val="right" w:leader="dot" w:pos="8630"/>
            </w:tabs>
            <w:rPr>
              <w:rFonts w:eastAsiaTheme="minorEastAsia"/>
              <w:noProof/>
              <w:lang w:eastAsia="fr-CA"/>
            </w:rPr>
          </w:pPr>
          <w:hyperlink w:anchor="_Toc66453612" w:history="1">
            <w:r w:rsidR="00B95704" w:rsidRPr="00686962">
              <w:rPr>
                <w:rStyle w:val="Lienhypertexte"/>
                <w:rFonts w:ascii="Arial" w:hAnsi="Arial" w:cs="Arial"/>
                <w:noProof/>
              </w:rPr>
              <w:t>Les indicateurs de vitalisation en 2020</w:t>
            </w:r>
            <w:r w:rsidR="00B95704">
              <w:rPr>
                <w:noProof/>
                <w:webHidden/>
              </w:rPr>
              <w:tab/>
            </w:r>
            <w:r w:rsidR="00B95704">
              <w:rPr>
                <w:noProof/>
                <w:webHidden/>
              </w:rPr>
              <w:fldChar w:fldCharType="begin"/>
            </w:r>
            <w:r w:rsidR="00B95704">
              <w:rPr>
                <w:noProof/>
                <w:webHidden/>
              </w:rPr>
              <w:instrText xml:space="preserve"> PAGEREF _Toc66453612 \h </w:instrText>
            </w:r>
            <w:r w:rsidR="00B95704">
              <w:rPr>
                <w:noProof/>
                <w:webHidden/>
              </w:rPr>
            </w:r>
            <w:r w:rsidR="00B95704">
              <w:rPr>
                <w:noProof/>
                <w:webHidden/>
              </w:rPr>
              <w:fldChar w:fldCharType="separate"/>
            </w:r>
            <w:r w:rsidR="003A7834">
              <w:rPr>
                <w:noProof/>
                <w:webHidden/>
              </w:rPr>
              <w:t>3</w:t>
            </w:r>
            <w:r w:rsidR="00B95704">
              <w:rPr>
                <w:noProof/>
                <w:webHidden/>
              </w:rPr>
              <w:fldChar w:fldCharType="end"/>
            </w:r>
          </w:hyperlink>
        </w:p>
        <w:p w14:paraId="0C423240" w14:textId="36C94541" w:rsidR="00B95704" w:rsidRDefault="005828A8">
          <w:pPr>
            <w:pStyle w:val="TM2"/>
            <w:tabs>
              <w:tab w:val="right" w:leader="dot" w:pos="8630"/>
            </w:tabs>
            <w:rPr>
              <w:rFonts w:eastAsiaTheme="minorEastAsia"/>
              <w:noProof/>
              <w:lang w:eastAsia="fr-CA"/>
            </w:rPr>
          </w:pPr>
          <w:hyperlink w:anchor="_Toc66453613" w:history="1">
            <w:r w:rsidR="00B95704" w:rsidRPr="00686962">
              <w:rPr>
                <w:rStyle w:val="Lienhypertexte"/>
                <w:rFonts w:ascii="Arial" w:hAnsi="Arial" w:cs="Arial"/>
                <w:noProof/>
              </w:rPr>
              <w:t>Énoncé de vision</w:t>
            </w:r>
            <w:r w:rsidR="00B95704">
              <w:rPr>
                <w:noProof/>
                <w:webHidden/>
              </w:rPr>
              <w:tab/>
            </w:r>
            <w:r w:rsidR="00B95704">
              <w:rPr>
                <w:noProof/>
                <w:webHidden/>
              </w:rPr>
              <w:fldChar w:fldCharType="begin"/>
            </w:r>
            <w:r w:rsidR="00B95704">
              <w:rPr>
                <w:noProof/>
                <w:webHidden/>
              </w:rPr>
              <w:instrText xml:space="preserve"> PAGEREF _Toc66453613 \h </w:instrText>
            </w:r>
            <w:r w:rsidR="00B95704">
              <w:rPr>
                <w:noProof/>
                <w:webHidden/>
              </w:rPr>
            </w:r>
            <w:r w:rsidR="00B95704">
              <w:rPr>
                <w:noProof/>
                <w:webHidden/>
              </w:rPr>
              <w:fldChar w:fldCharType="separate"/>
            </w:r>
            <w:r w:rsidR="003A7834">
              <w:rPr>
                <w:noProof/>
                <w:webHidden/>
              </w:rPr>
              <w:t>4</w:t>
            </w:r>
            <w:r w:rsidR="00B95704">
              <w:rPr>
                <w:noProof/>
                <w:webHidden/>
              </w:rPr>
              <w:fldChar w:fldCharType="end"/>
            </w:r>
          </w:hyperlink>
        </w:p>
        <w:p w14:paraId="628E83B6" w14:textId="5FCFC8B0" w:rsidR="00B95704" w:rsidRDefault="005828A8">
          <w:pPr>
            <w:pStyle w:val="TM1"/>
            <w:tabs>
              <w:tab w:val="right" w:leader="dot" w:pos="8630"/>
            </w:tabs>
            <w:rPr>
              <w:rFonts w:eastAsiaTheme="minorEastAsia"/>
              <w:noProof/>
              <w:lang w:eastAsia="fr-CA"/>
            </w:rPr>
          </w:pPr>
          <w:hyperlink w:anchor="_Toc66453614" w:history="1">
            <w:r w:rsidR="00B95704" w:rsidRPr="00686962">
              <w:rPr>
                <w:rStyle w:val="Lienhypertexte"/>
                <w:rFonts w:ascii="Arial" w:hAnsi="Arial" w:cs="Arial"/>
                <w:noProof/>
              </w:rPr>
              <w:t>DIX AXES DE VITALISATION</w:t>
            </w:r>
            <w:r w:rsidR="00B95704">
              <w:rPr>
                <w:noProof/>
                <w:webHidden/>
              </w:rPr>
              <w:tab/>
            </w:r>
            <w:r w:rsidR="00B95704">
              <w:rPr>
                <w:noProof/>
                <w:webHidden/>
              </w:rPr>
              <w:fldChar w:fldCharType="begin"/>
            </w:r>
            <w:r w:rsidR="00B95704">
              <w:rPr>
                <w:noProof/>
                <w:webHidden/>
              </w:rPr>
              <w:instrText xml:space="preserve"> PAGEREF _Toc66453614 \h </w:instrText>
            </w:r>
            <w:r w:rsidR="00B95704">
              <w:rPr>
                <w:noProof/>
                <w:webHidden/>
              </w:rPr>
            </w:r>
            <w:r w:rsidR="00B95704">
              <w:rPr>
                <w:noProof/>
                <w:webHidden/>
              </w:rPr>
              <w:fldChar w:fldCharType="separate"/>
            </w:r>
            <w:r w:rsidR="003A7834">
              <w:rPr>
                <w:noProof/>
                <w:webHidden/>
              </w:rPr>
              <w:t>5</w:t>
            </w:r>
            <w:r w:rsidR="00B95704">
              <w:rPr>
                <w:noProof/>
                <w:webHidden/>
              </w:rPr>
              <w:fldChar w:fldCharType="end"/>
            </w:r>
          </w:hyperlink>
        </w:p>
        <w:p w14:paraId="105FBB61" w14:textId="25306F82" w:rsidR="00B95704" w:rsidRDefault="005828A8">
          <w:pPr>
            <w:pStyle w:val="TM3"/>
            <w:tabs>
              <w:tab w:val="right" w:leader="dot" w:pos="8630"/>
            </w:tabs>
            <w:rPr>
              <w:rFonts w:eastAsiaTheme="minorEastAsia"/>
              <w:noProof/>
              <w:lang w:eastAsia="fr-CA"/>
            </w:rPr>
          </w:pPr>
          <w:hyperlink w:anchor="_Toc66453615" w:history="1">
            <w:r w:rsidR="00B95704" w:rsidRPr="00686962">
              <w:rPr>
                <w:rStyle w:val="Lienhypertexte"/>
                <w:rFonts w:ascii="Arial" w:hAnsi="Arial" w:cs="Arial"/>
                <w:noProof/>
              </w:rPr>
              <w:t>La sécurité</w:t>
            </w:r>
            <w:r w:rsidR="00B95704">
              <w:rPr>
                <w:noProof/>
                <w:webHidden/>
              </w:rPr>
              <w:tab/>
            </w:r>
            <w:r w:rsidR="00B95704">
              <w:rPr>
                <w:noProof/>
                <w:webHidden/>
              </w:rPr>
              <w:fldChar w:fldCharType="begin"/>
            </w:r>
            <w:r w:rsidR="00B95704">
              <w:rPr>
                <w:noProof/>
                <w:webHidden/>
              </w:rPr>
              <w:instrText xml:space="preserve"> PAGEREF _Toc66453615 \h </w:instrText>
            </w:r>
            <w:r w:rsidR="00B95704">
              <w:rPr>
                <w:noProof/>
                <w:webHidden/>
              </w:rPr>
            </w:r>
            <w:r w:rsidR="00B95704">
              <w:rPr>
                <w:noProof/>
                <w:webHidden/>
              </w:rPr>
              <w:fldChar w:fldCharType="separate"/>
            </w:r>
            <w:r w:rsidR="003A7834">
              <w:rPr>
                <w:noProof/>
                <w:webHidden/>
              </w:rPr>
              <w:t>5</w:t>
            </w:r>
            <w:r w:rsidR="00B95704">
              <w:rPr>
                <w:noProof/>
                <w:webHidden/>
              </w:rPr>
              <w:fldChar w:fldCharType="end"/>
            </w:r>
          </w:hyperlink>
        </w:p>
        <w:p w14:paraId="43A43F0C" w14:textId="057267DD" w:rsidR="00B95704" w:rsidRDefault="005828A8">
          <w:pPr>
            <w:pStyle w:val="TM3"/>
            <w:tabs>
              <w:tab w:val="right" w:leader="dot" w:pos="8630"/>
            </w:tabs>
            <w:rPr>
              <w:rFonts w:eastAsiaTheme="minorEastAsia"/>
              <w:noProof/>
              <w:lang w:eastAsia="fr-CA"/>
            </w:rPr>
          </w:pPr>
          <w:hyperlink w:anchor="_Toc66453616" w:history="1">
            <w:r w:rsidR="00B95704" w:rsidRPr="00686962">
              <w:rPr>
                <w:rStyle w:val="Lienhypertexte"/>
                <w:rFonts w:ascii="Arial" w:hAnsi="Arial" w:cs="Arial"/>
                <w:noProof/>
              </w:rPr>
              <w:t>L’attractivité</w:t>
            </w:r>
            <w:r w:rsidR="00B95704">
              <w:rPr>
                <w:noProof/>
                <w:webHidden/>
              </w:rPr>
              <w:tab/>
            </w:r>
            <w:r w:rsidR="00B95704">
              <w:rPr>
                <w:noProof/>
                <w:webHidden/>
              </w:rPr>
              <w:fldChar w:fldCharType="begin"/>
            </w:r>
            <w:r w:rsidR="00B95704">
              <w:rPr>
                <w:noProof/>
                <w:webHidden/>
              </w:rPr>
              <w:instrText xml:space="preserve"> PAGEREF _Toc66453616 \h </w:instrText>
            </w:r>
            <w:r w:rsidR="00B95704">
              <w:rPr>
                <w:noProof/>
                <w:webHidden/>
              </w:rPr>
            </w:r>
            <w:r w:rsidR="00B95704">
              <w:rPr>
                <w:noProof/>
                <w:webHidden/>
              </w:rPr>
              <w:fldChar w:fldCharType="separate"/>
            </w:r>
            <w:r w:rsidR="003A7834">
              <w:rPr>
                <w:noProof/>
                <w:webHidden/>
              </w:rPr>
              <w:t>5</w:t>
            </w:r>
            <w:r w:rsidR="00B95704">
              <w:rPr>
                <w:noProof/>
                <w:webHidden/>
              </w:rPr>
              <w:fldChar w:fldCharType="end"/>
            </w:r>
          </w:hyperlink>
        </w:p>
        <w:p w14:paraId="0F137BCA" w14:textId="5F14669A" w:rsidR="00B95704" w:rsidRDefault="005828A8">
          <w:pPr>
            <w:pStyle w:val="TM3"/>
            <w:tabs>
              <w:tab w:val="right" w:leader="dot" w:pos="8630"/>
            </w:tabs>
            <w:rPr>
              <w:rFonts w:eastAsiaTheme="minorEastAsia"/>
              <w:noProof/>
              <w:lang w:eastAsia="fr-CA"/>
            </w:rPr>
          </w:pPr>
          <w:hyperlink w:anchor="_Toc66453617" w:history="1">
            <w:r w:rsidR="00B95704" w:rsidRPr="00686962">
              <w:rPr>
                <w:rStyle w:val="Lienhypertexte"/>
                <w:rFonts w:ascii="Arial" w:hAnsi="Arial" w:cs="Arial"/>
                <w:noProof/>
              </w:rPr>
              <w:t>Les communications et le développement d’une image positive</w:t>
            </w:r>
            <w:r w:rsidR="00B95704">
              <w:rPr>
                <w:noProof/>
                <w:webHidden/>
              </w:rPr>
              <w:tab/>
            </w:r>
            <w:r w:rsidR="00B95704">
              <w:rPr>
                <w:noProof/>
                <w:webHidden/>
              </w:rPr>
              <w:fldChar w:fldCharType="begin"/>
            </w:r>
            <w:r w:rsidR="00B95704">
              <w:rPr>
                <w:noProof/>
                <w:webHidden/>
              </w:rPr>
              <w:instrText xml:space="preserve"> PAGEREF _Toc66453617 \h </w:instrText>
            </w:r>
            <w:r w:rsidR="00B95704">
              <w:rPr>
                <w:noProof/>
                <w:webHidden/>
              </w:rPr>
            </w:r>
            <w:r w:rsidR="00B95704">
              <w:rPr>
                <w:noProof/>
                <w:webHidden/>
              </w:rPr>
              <w:fldChar w:fldCharType="separate"/>
            </w:r>
            <w:r w:rsidR="003A7834">
              <w:rPr>
                <w:noProof/>
                <w:webHidden/>
              </w:rPr>
              <w:t>5</w:t>
            </w:r>
            <w:r w:rsidR="00B95704">
              <w:rPr>
                <w:noProof/>
                <w:webHidden/>
              </w:rPr>
              <w:fldChar w:fldCharType="end"/>
            </w:r>
          </w:hyperlink>
        </w:p>
        <w:p w14:paraId="7980B258" w14:textId="212D4C5A" w:rsidR="00B95704" w:rsidRDefault="005828A8">
          <w:pPr>
            <w:pStyle w:val="TM3"/>
            <w:tabs>
              <w:tab w:val="right" w:leader="dot" w:pos="8630"/>
            </w:tabs>
            <w:rPr>
              <w:rFonts w:eastAsiaTheme="minorEastAsia"/>
              <w:noProof/>
              <w:lang w:eastAsia="fr-CA"/>
            </w:rPr>
          </w:pPr>
          <w:hyperlink w:anchor="_Toc66453618" w:history="1">
            <w:r w:rsidR="00B95704" w:rsidRPr="00686962">
              <w:rPr>
                <w:rStyle w:val="Lienhypertexte"/>
                <w:rFonts w:ascii="Arial" w:hAnsi="Arial" w:cs="Arial"/>
                <w:noProof/>
              </w:rPr>
              <w:t>L’environnement</w:t>
            </w:r>
            <w:r w:rsidR="00B95704">
              <w:rPr>
                <w:noProof/>
                <w:webHidden/>
              </w:rPr>
              <w:tab/>
            </w:r>
            <w:r w:rsidR="00B95704">
              <w:rPr>
                <w:noProof/>
                <w:webHidden/>
              </w:rPr>
              <w:fldChar w:fldCharType="begin"/>
            </w:r>
            <w:r w:rsidR="00B95704">
              <w:rPr>
                <w:noProof/>
                <w:webHidden/>
              </w:rPr>
              <w:instrText xml:space="preserve"> PAGEREF _Toc66453618 \h </w:instrText>
            </w:r>
            <w:r w:rsidR="00B95704">
              <w:rPr>
                <w:noProof/>
                <w:webHidden/>
              </w:rPr>
            </w:r>
            <w:r w:rsidR="00B95704">
              <w:rPr>
                <w:noProof/>
                <w:webHidden/>
              </w:rPr>
              <w:fldChar w:fldCharType="separate"/>
            </w:r>
            <w:r w:rsidR="003A7834">
              <w:rPr>
                <w:noProof/>
                <w:webHidden/>
              </w:rPr>
              <w:t>5</w:t>
            </w:r>
            <w:r w:rsidR="00B95704">
              <w:rPr>
                <w:noProof/>
                <w:webHidden/>
              </w:rPr>
              <w:fldChar w:fldCharType="end"/>
            </w:r>
          </w:hyperlink>
        </w:p>
        <w:p w14:paraId="5946E27D" w14:textId="0A5A8F07" w:rsidR="00B95704" w:rsidRDefault="005828A8">
          <w:pPr>
            <w:pStyle w:val="TM3"/>
            <w:tabs>
              <w:tab w:val="right" w:leader="dot" w:pos="8630"/>
            </w:tabs>
            <w:rPr>
              <w:rFonts w:eastAsiaTheme="minorEastAsia"/>
              <w:noProof/>
              <w:lang w:eastAsia="fr-CA"/>
            </w:rPr>
          </w:pPr>
          <w:hyperlink w:anchor="_Toc66453619" w:history="1">
            <w:r w:rsidR="00B95704" w:rsidRPr="00686962">
              <w:rPr>
                <w:rStyle w:val="Lienhypertexte"/>
                <w:rFonts w:ascii="Arial" w:hAnsi="Arial" w:cs="Arial"/>
                <w:noProof/>
              </w:rPr>
              <w:t>Des investissements stratégiques pour la compétitivité</w:t>
            </w:r>
            <w:r w:rsidR="00B95704">
              <w:rPr>
                <w:noProof/>
                <w:webHidden/>
              </w:rPr>
              <w:tab/>
            </w:r>
            <w:r w:rsidR="00B95704">
              <w:rPr>
                <w:noProof/>
                <w:webHidden/>
              </w:rPr>
              <w:fldChar w:fldCharType="begin"/>
            </w:r>
            <w:r w:rsidR="00B95704">
              <w:rPr>
                <w:noProof/>
                <w:webHidden/>
              </w:rPr>
              <w:instrText xml:space="preserve"> PAGEREF _Toc66453619 \h </w:instrText>
            </w:r>
            <w:r w:rsidR="00B95704">
              <w:rPr>
                <w:noProof/>
                <w:webHidden/>
              </w:rPr>
            </w:r>
            <w:r w:rsidR="00B95704">
              <w:rPr>
                <w:noProof/>
                <w:webHidden/>
              </w:rPr>
              <w:fldChar w:fldCharType="separate"/>
            </w:r>
            <w:r w:rsidR="003A7834">
              <w:rPr>
                <w:noProof/>
                <w:webHidden/>
              </w:rPr>
              <w:t>5</w:t>
            </w:r>
            <w:r w:rsidR="00B95704">
              <w:rPr>
                <w:noProof/>
                <w:webHidden/>
              </w:rPr>
              <w:fldChar w:fldCharType="end"/>
            </w:r>
          </w:hyperlink>
        </w:p>
        <w:p w14:paraId="0F6BAD74" w14:textId="28506BF2" w:rsidR="00B95704" w:rsidRDefault="005828A8">
          <w:pPr>
            <w:pStyle w:val="TM3"/>
            <w:tabs>
              <w:tab w:val="right" w:leader="dot" w:pos="8630"/>
            </w:tabs>
            <w:rPr>
              <w:rFonts w:eastAsiaTheme="minorEastAsia"/>
              <w:noProof/>
              <w:lang w:eastAsia="fr-CA"/>
            </w:rPr>
          </w:pPr>
          <w:hyperlink w:anchor="_Toc66453620" w:history="1">
            <w:r w:rsidR="00B95704" w:rsidRPr="00686962">
              <w:rPr>
                <w:rStyle w:val="Lienhypertexte"/>
                <w:rFonts w:ascii="Arial" w:hAnsi="Arial" w:cs="Arial"/>
                <w:noProof/>
              </w:rPr>
              <w:t>La forêt et la transformation du bois</w:t>
            </w:r>
            <w:r w:rsidR="00B95704">
              <w:rPr>
                <w:noProof/>
                <w:webHidden/>
              </w:rPr>
              <w:tab/>
            </w:r>
            <w:r w:rsidR="00B95704">
              <w:rPr>
                <w:noProof/>
                <w:webHidden/>
              </w:rPr>
              <w:fldChar w:fldCharType="begin"/>
            </w:r>
            <w:r w:rsidR="00B95704">
              <w:rPr>
                <w:noProof/>
                <w:webHidden/>
              </w:rPr>
              <w:instrText xml:space="preserve"> PAGEREF _Toc66453620 \h </w:instrText>
            </w:r>
            <w:r w:rsidR="00B95704">
              <w:rPr>
                <w:noProof/>
                <w:webHidden/>
              </w:rPr>
            </w:r>
            <w:r w:rsidR="00B95704">
              <w:rPr>
                <w:noProof/>
                <w:webHidden/>
              </w:rPr>
              <w:fldChar w:fldCharType="separate"/>
            </w:r>
            <w:r w:rsidR="003A7834">
              <w:rPr>
                <w:noProof/>
                <w:webHidden/>
              </w:rPr>
              <w:t>6</w:t>
            </w:r>
            <w:r w:rsidR="00B95704">
              <w:rPr>
                <w:noProof/>
                <w:webHidden/>
              </w:rPr>
              <w:fldChar w:fldCharType="end"/>
            </w:r>
          </w:hyperlink>
        </w:p>
        <w:p w14:paraId="30E9FF07" w14:textId="1EF7065E" w:rsidR="00B95704" w:rsidRDefault="005828A8">
          <w:pPr>
            <w:pStyle w:val="TM3"/>
            <w:tabs>
              <w:tab w:val="right" w:leader="dot" w:pos="8630"/>
            </w:tabs>
            <w:rPr>
              <w:rFonts w:eastAsiaTheme="minorEastAsia"/>
              <w:noProof/>
              <w:lang w:eastAsia="fr-CA"/>
            </w:rPr>
          </w:pPr>
          <w:hyperlink w:anchor="_Toc66453621" w:history="1">
            <w:r w:rsidR="00B95704" w:rsidRPr="00686962">
              <w:rPr>
                <w:rStyle w:val="Lienhypertexte"/>
                <w:rFonts w:ascii="Arial" w:hAnsi="Arial" w:cs="Arial"/>
                <w:noProof/>
              </w:rPr>
              <w:t>Une agriculture nourricière et l’agroalimentaire</w:t>
            </w:r>
            <w:r w:rsidR="00B95704">
              <w:rPr>
                <w:noProof/>
                <w:webHidden/>
              </w:rPr>
              <w:tab/>
            </w:r>
            <w:r w:rsidR="00B95704">
              <w:rPr>
                <w:noProof/>
                <w:webHidden/>
              </w:rPr>
              <w:fldChar w:fldCharType="begin"/>
            </w:r>
            <w:r w:rsidR="00B95704">
              <w:rPr>
                <w:noProof/>
                <w:webHidden/>
              </w:rPr>
              <w:instrText xml:space="preserve"> PAGEREF _Toc66453621 \h </w:instrText>
            </w:r>
            <w:r w:rsidR="00B95704">
              <w:rPr>
                <w:noProof/>
                <w:webHidden/>
              </w:rPr>
            </w:r>
            <w:r w:rsidR="00B95704">
              <w:rPr>
                <w:noProof/>
                <w:webHidden/>
              </w:rPr>
              <w:fldChar w:fldCharType="separate"/>
            </w:r>
            <w:r w:rsidR="003A7834">
              <w:rPr>
                <w:noProof/>
                <w:webHidden/>
              </w:rPr>
              <w:t>6</w:t>
            </w:r>
            <w:r w:rsidR="00B95704">
              <w:rPr>
                <w:noProof/>
                <w:webHidden/>
              </w:rPr>
              <w:fldChar w:fldCharType="end"/>
            </w:r>
          </w:hyperlink>
        </w:p>
        <w:p w14:paraId="1BE978C0" w14:textId="1B47B690" w:rsidR="00B95704" w:rsidRDefault="005828A8">
          <w:pPr>
            <w:pStyle w:val="TM3"/>
            <w:tabs>
              <w:tab w:val="right" w:leader="dot" w:pos="8630"/>
            </w:tabs>
            <w:rPr>
              <w:rFonts w:eastAsiaTheme="minorEastAsia"/>
              <w:noProof/>
              <w:lang w:eastAsia="fr-CA"/>
            </w:rPr>
          </w:pPr>
          <w:hyperlink w:anchor="_Toc66453622" w:history="1">
            <w:r w:rsidR="00B95704" w:rsidRPr="00686962">
              <w:rPr>
                <w:rStyle w:val="Lienhypertexte"/>
                <w:rFonts w:ascii="Arial" w:hAnsi="Arial" w:cs="Arial"/>
                <w:noProof/>
              </w:rPr>
              <w:t>Le tourisme</w:t>
            </w:r>
            <w:r w:rsidR="00B95704">
              <w:rPr>
                <w:noProof/>
                <w:webHidden/>
              </w:rPr>
              <w:tab/>
            </w:r>
            <w:r w:rsidR="00B95704">
              <w:rPr>
                <w:noProof/>
                <w:webHidden/>
              </w:rPr>
              <w:fldChar w:fldCharType="begin"/>
            </w:r>
            <w:r w:rsidR="00B95704">
              <w:rPr>
                <w:noProof/>
                <w:webHidden/>
              </w:rPr>
              <w:instrText xml:space="preserve"> PAGEREF _Toc66453622 \h </w:instrText>
            </w:r>
            <w:r w:rsidR="00B95704">
              <w:rPr>
                <w:noProof/>
                <w:webHidden/>
              </w:rPr>
            </w:r>
            <w:r w:rsidR="00B95704">
              <w:rPr>
                <w:noProof/>
                <w:webHidden/>
              </w:rPr>
              <w:fldChar w:fldCharType="separate"/>
            </w:r>
            <w:r w:rsidR="003A7834">
              <w:rPr>
                <w:noProof/>
                <w:webHidden/>
              </w:rPr>
              <w:t>6</w:t>
            </w:r>
            <w:r w:rsidR="00B95704">
              <w:rPr>
                <w:noProof/>
                <w:webHidden/>
              </w:rPr>
              <w:fldChar w:fldCharType="end"/>
            </w:r>
          </w:hyperlink>
        </w:p>
        <w:p w14:paraId="66CA22FB" w14:textId="335EED5C" w:rsidR="00B95704" w:rsidRDefault="005828A8">
          <w:pPr>
            <w:pStyle w:val="TM3"/>
            <w:tabs>
              <w:tab w:val="right" w:leader="dot" w:pos="8630"/>
            </w:tabs>
            <w:rPr>
              <w:rFonts w:eastAsiaTheme="minorEastAsia"/>
              <w:noProof/>
              <w:lang w:eastAsia="fr-CA"/>
            </w:rPr>
          </w:pPr>
          <w:hyperlink w:anchor="_Toc66453623" w:history="1">
            <w:r w:rsidR="00B95704" w:rsidRPr="00686962">
              <w:rPr>
                <w:rStyle w:val="Lienhypertexte"/>
                <w:rFonts w:ascii="Arial" w:hAnsi="Arial" w:cs="Arial"/>
                <w:noProof/>
              </w:rPr>
              <w:t>Le soutien prioritaire aux municipalités les plus dévitalisées</w:t>
            </w:r>
            <w:r w:rsidR="00B95704">
              <w:rPr>
                <w:noProof/>
                <w:webHidden/>
              </w:rPr>
              <w:tab/>
            </w:r>
            <w:r w:rsidR="00B95704">
              <w:rPr>
                <w:noProof/>
                <w:webHidden/>
              </w:rPr>
              <w:fldChar w:fldCharType="begin"/>
            </w:r>
            <w:r w:rsidR="00B95704">
              <w:rPr>
                <w:noProof/>
                <w:webHidden/>
              </w:rPr>
              <w:instrText xml:space="preserve"> PAGEREF _Toc66453623 \h </w:instrText>
            </w:r>
            <w:r w:rsidR="00B95704">
              <w:rPr>
                <w:noProof/>
                <w:webHidden/>
              </w:rPr>
            </w:r>
            <w:r w:rsidR="00B95704">
              <w:rPr>
                <w:noProof/>
                <w:webHidden/>
              </w:rPr>
              <w:fldChar w:fldCharType="separate"/>
            </w:r>
            <w:r w:rsidR="003A7834">
              <w:rPr>
                <w:noProof/>
                <w:webHidden/>
              </w:rPr>
              <w:t>6</w:t>
            </w:r>
            <w:r w:rsidR="00B95704">
              <w:rPr>
                <w:noProof/>
                <w:webHidden/>
              </w:rPr>
              <w:fldChar w:fldCharType="end"/>
            </w:r>
          </w:hyperlink>
        </w:p>
        <w:p w14:paraId="73ACF117" w14:textId="21F9303C" w:rsidR="00B95704" w:rsidRDefault="005828A8">
          <w:pPr>
            <w:pStyle w:val="TM3"/>
            <w:tabs>
              <w:tab w:val="right" w:leader="dot" w:pos="8630"/>
            </w:tabs>
            <w:rPr>
              <w:rFonts w:eastAsiaTheme="minorEastAsia"/>
              <w:noProof/>
              <w:lang w:eastAsia="fr-CA"/>
            </w:rPr>
          </w:pPr>
          <w:hyperlink w:anchor="_Toc66453624" w:history="1">
            <w:r w:rsidR="00B95704" w:rsidRPr="00686962">
              <w:rPr>
                <w:rStyle w:val="Lienhypertexte"/>
                <w:rFonts w:ascii="Arial" w:hAnsi="Arial" w:cs="Arial"/>
                <w:noProof/>
              </w:rPr>
              <w:t>L’occupation dynamique du territoire</w:t>
            </w:r>
            <w:r w:rsidR="00B95704">
              <w:rPr>
                <w:noProof/>
                <w:webHidden/>
              </w:rPr>
              <w:tab/>
            </w:r>
            <w:r w:rsidR="00B95704">
              <w:rPr>
                <w:noProof/>
                <w:webHidden/>
              </w:rPr>
              <w:fldChar w:fldCharType="begin"/>
            </w:r>
            <w:r w:rsidR="00B95704">
              <w:rPr>
                <w:noProof/>
                <w:webHidden/>
              </w:rPr>
              <w:instrText xml:space="preserve"> PAGEREF _Toc66453624 \h </w:instrText>
            </w:r>
            <w:r w:rsidR="00B95704">
              <w:rPr>
                <w:noProof/>
                <w:webHidden/>
              </w:rPr>
            </w:r>
            <w:r w:rsidR="00B95704">
              <w:rPr>
                <w:noProof/>
                <w:webHidden/>
              </w:rPr>
              <w:fldChar w:fldCharType="separate"/>
            </w:r>
            <w:r w:rsidR="003A7834">
              <w:rPr>
                <w:noProof/>
                <w:webHidden/>
              </w:rPr>
              <w:t>7</w:t>
            </w:r>
            <w:r w:rsidR="00B95704">
              <w:rPr>
                <w:noProof/>
                <w:webHidden/>
              </w:rPr>
              <w:fldChar w:fldCharType="end"/>
            </w:r>
          </w:hyperlink>
        </w:p>
        <w:p w14:paraId="4CA9ED80" w14:textId="219CD1DA" w:rsidR="00B95704" w:rsidRDefault="005828A8">
          <w:pPr>
            <w:pStyle w:val="TM1"/>
            <w:tabs>
              <w:tab w:val="right" w:leader="dot" w:pos="8630"/>
            </w:tabs>
            <w:rPr>
              <w:rFonts w:eastAsiaTheme="minorEastAsia"/>
              <w:noProof/>
              <w:lang w:eastAsia="fr-CA"/>
            </w:rPr>
          </w:pPr>
          <w:hyperlink w:anchor="_Toc66453625" w:history="1">
            <w:r w:rsidR="00B95704" w:rsidRPr="00686962">
              <w:rPr>
                <w:rStyle w:val="Lienhypertexte"/>
                <w:rFonts w:ascii="Arial" w:hAnsi="Arial" w:cs="Arial"/>
                <w:noProof/>
              </w:rPr>
              <w:t>ADMISSIBILITÉ DES PROJETS</w:t>
            </w:r>
            <w:r w:rsidR="00B95704">
              <w:rPr>
                <w:noProof/>
                <w:webHidden/>
              </w:rPr>
              <w:tab/>
            </w:r>
            <w:r w:rsidR="00B95704">
              <w:rPr>
                <w:noProof/>
                <w:webHidden/>
              </w:rPr>
              <w:fldChar w:fldCharType="begin"/>
            </w:r>
            <w:r w:rsidR="00B95704">
              <w:rPr>
                <w:noProof/>
                <w:webHidden/>
              </w:rPr>
              <w:instrText xml:space="preserve"> PAGEREF _Toc66453625 \h </w:instrText>
            </w:r>
            <w:r w:rsidR="00B95704">
              <w:rPr>
                <w:noProof/>
                <w:webHidden/>
              </w:rPr>
            </w:r>
            <w:r w:rsidR="00B95704">
              <w:rPr>
                <w:noProof/>
                <w:webHidden/>
              </w:rPr>
              <w:fldChar w:fldCharType="separate"/>
            </w:r>
            <w:r w:rsidR="003A7834">
              <w:rPr>
                <w:noProof/>
                <w:webHidden/>
              </w:rPr>
              <w:t>8</w:t>
            </w:r>
            <w:r w:rsidR="00B95704">
              <w:rPr>
                <w:noProof/>
                <w:webHidden/>
              </w:rPr>
              <w:fldChar w:fldCharType="end"/>
            </w:r>
          </w:hyperlink>
        </w:p>
        <w:p w14:paraId="2E0921F1" w14:textId="51110B00" w:rsidR="00B95704" w:rsidRDefault="005828A8">
          <w:pPr>
            <w:pStyle w:val="TM2"/>
            <w:tabs>
              <w:tab w:val="right" w:leader="dot" w:pos="8630"/>
            </w:tabs>
            <w:rPr>
              <w:rFonts w:eastAsiaTheme="minorEastAsia"/>
              <w:noProof/>
              <w:lang w:eastAsia="fr-CA"/>
            </w:rPr>
          </w:pPr>
          <w:hyperlink w:anchor="_Toc66453626" w:history="1">
            <w:r w:rsidR="00B95704" w:rsidRPr="00686962">
              <w:rPr>
                <w:rStyle w:val="Lienhypertexte"/>
                <w:rFonts w:ascii="Arial" w:hAnsi="Arial" w:cs="Arial"/>
                <w:noProof/>
              </w:rPr>
              <w:t>Projets admissibles à un financement</w:t>
            </w:r>
            <w:r w:rsidR="00B95704">
              <w:rPr>
                <w:noProof/>
                <w:webHidden/>
              </w:rPr>
              <w:tab/>
            </w:r>
            <w:r w:rsidR="00B95704">
              <w:rPr>
                <w:noProof/>
                <w:webHidden/>
              </w:rPr>
              <w:fldChar w:fldCharType="begin"/>
            </w:r>
            <w:r w:rsidR="00B95704">
              <w:rPr>
                <w:noProof/>
                <w:webHidden/>
              </w:rPr>
              <w:instrText xml:space="preserve"> PAGEREF _Toc66453626 \h </w:instrText>
            </w:r>
            <w:r w:rsidR="00B95704">
              <w:rPr>
                <w:noProof/>
                <w:webHidden/>
              </w:rPr>
            </w:r>
            <w:r w:rsidR="00B95704">
              <w:rPr>
                <w:noProof/>
                <w:webHidden/>
              </w:rPr>
              <w:fldChar w:fldCharType="separate"/>
            </w:r>
            <w:r w:rsidR="003A7834">
              <w:rPr>
                <w:noProof/>
                <w:webHidden/>
              </w:rPr>
              <w:t>8</w:t>
            </w:r>
            <w:r w:rsidR="00B95704">
              <w:rPr>
                <w:noProof/>
                <w:webHidden/>
              </w:rPr>
              <w:fldChar w:fldCharType="end"/>
            </w:r>
          </w:hyperlink>
        </w:p>
        <w:p w14:paraId="2F67D73E" w14:textId="46ED8905" w:rsidR="00B95704" w:rsidRDefault="005828A8">
          <w:pPr>
            <w:pStyle w:val="TM2"/>
            <w:tabs>
              <w:tab w:val="right" w:leader="dot" w:pos="8630"/>
            </w:tabs>
            <w:rPr>
              <w:rFonts w:eastAsiaTheme="minorEastAsia"/>
              <w:noProof/>
              <w:lang w:eastAsia="fr-CA"/>
            </w:rPr>
          </w:pPr>
          <w:hyperlink w:anchor="_Toc66453627" w:history="1">
            <w:r w:rsidR="00B95704" w:rsidRPr="00686962">
              <w:rPr>
                <w:rStyle w:val="Lienhypertexte"/>
                <w:rFonts w:ascii="Arial" w:hAnsi="Arial" w:cs="Arial"/>
                <w:noProof/>
              </w:rPr>
              <w:t>Projets non admissibles à un financement</w:t>
            </w:r>
            <w:r w:rsidR="00B95704">
              <w:rPr>
                <w:noProof/>
                <w:webHidden/>
              </w:rPr>
              <w:tab/>
            </w:r>
            <w:r w:rsidR="00B95704">
              <w:rPr>
                <w:noProof/>
                <w:webHidden/>
              </w:rPr>
              <w:fldChar w:fldCharType="begin"/>
            </w:r>
            <w:r w:rsidR="00B95704">
              <w:rPr>
                <w:noProof/>
                <w:webHidden/>
              </w:rPr>
              <w:instrText xml:space="preserve"> PAGEREF _Toc66453627 \h </w:instrText>
            </w:r>
            <w:r w:rsidR="00B95704">
              <w:rPr>
                <w:noProof/>
                <w:webHidden/>
              </w:rPr>
            </w:r>
            <w:r w:rsidR="00B95704">
              <w:rPr>
                <w:noProof/>
                <w:webHidden/>
              </w:rPr>
              <w:fldChar w:fldCharType="separate"/>
            </w:r>
            <w:r w:rsidR="003A7834">
              <w:rPr>
                <w:noProof/>
                <w:webHidden/>
              </w:rPr>
              <w:t>8</w:t>
            </w:r>
            <w:r w:rsidR="00B95704">
              <w:rPr>
                <w:noProof/>
                <w:webHidden/>
              </w:rPr>
              <w:fldChar w:fldCharType="end"/>
            </w:r>
          </w:hyperlink>
        </w:p>
        <w:p w14:paraId="3DB9444F" w14:textId="3977E472" w:rsidR="00B95704" w:rsidRDefault="005828A8">
          <w:pPr>
            <w:pStyle w:val="TM1"/>
            <w:tabs>
              <w:tab w:val="right" w:leader="dot" w:pos="8630"/>
            </w:tabs>
            <w:rPr>
              <w:rFonts w:eastAsiaTheme="minorEastAsia"/>
              <w:noProof/>
              <w:lang w:eastAsia="fr-CA"/>
            </w:rPr>
          </w:pPr>
          <w:hyperlink w:anchor="_Toc66453628" w:history="1">
            <w:r w:rsidR="00B95704" w:rsidRPr="00686962">
              <w:rPr>
                <w:rStyle w:val="Lienhypertexte"/>
                <w:rFonts w:ascii="Arial" w:hAnsi="Arial" w:cs="Arial"/>
                <w:noProof/>
              </w:rPr>
              <w:t>DÉPENSES ADMISSIBLES</w:t>
            </w:r>
            <w:r w:rsidR="00B95704">
              <w:rPr>
                <w:noProof/>
                <w:webHidden/>
              </w:rPr>
              <w:tab/>
            </w:r>
            <w:r w:rsidR="00B95704">
              <w:rPr>
                <w:noProof/>
                <w:webHidden/>
              </w:rPr>
              <w:fldChar w:fldCharType="begin"/>
            </w:r>
            <w:r w:rsidR="00B95704">
              <w:rPr>
                <w:noProof/>
                <w:webHidden/>
              </w:rPr>
              <w:instrText xml:space="preserve"> PAGEREF _Toc66453628 \h </w:instrText>
            </w:r>
            <w:r w:rsidR="00B95704">
              <w:rPr>
                <w:noProof/>
                <w:webHidden/>
              </w:rPr>
            </w:r>
            <w:r w:rsidR="00B95704">
              <w:rPr>
                <w:noProof/>
                <w:webHidden/>
              </w:rPr>
              <w:fldChar w:fldCharType="separate"/>
            </w:r>
            <w:r w:rsidR="003A7834">
              <w:rPr>
                <w:noProof/>
                <w:webHidden/>
              </w:rPr>
              <w:t>8</w:t>
            </w:r>
            <w:r w:rsidR="00B95704">
              <w:rPr>
                <w:noProof/>
                <w:webHidden/>
              </w:rPr>
              <w:fldChar w:fldCharType="end"/>
            </w:r>
          </w:hyperlink>
        </w:p>
        <w:p w14:paraId="077E5BED" w14:textId="2398F54A" w:rsidR="00B95704" w:rsidRDefault="005828A8">
          <w:pPr>
            <w:pStyle w:val="TM1"/>
            <w:tabs>
              <w:tab w:val="right" w:leader="dot" w:pos="8630"/>
            </w:tabs>
            <w:rPr>
              <w:rFonts w:eastAsiaTheme="minorEastAsia"/>
              <w:noProof/>
              <w:lang w:eastAsia="fr-CA"/>
            </w:rPr>
          </w:pPr>
          <w:hyperlink w:anchor="_Toc66453629" w:history="1">
            <w:r w:rsidR="00B95704" w:rsidRPr="00686962">
              <w:rPr>
                <w:rStyle w:val="Lienhypertexte"/>
                <w:rFonts w:ascii="Arial" w:hAnsi="Arial" w:cs="Arial"/>
                <w:noProof/>
              </w:rPr>
              <w:t>DÉPENSES NON ADMISSIBLES</w:t>
            </w:r>
            <w:r w:rsidR="00B95704">
              <w:rPr>
                <w:noProof/>
                <w:webHidden/>
              </w:rPr>
              <w:tab/>
            </w:r>
            <w:r w:rsidR="00B95704">
              <w:rPr>
                <w:noProof/>
                <w:webHidden/>
              </w:rPr>
              <w:fldChar w:fldCharType="begin"/>
            </w:r>
            <w:r w:rsidR="00B95704">
              <w:rPr>
                <w:noProof/>
                <w:webHidden/>
              </w:rPr>
              <w:instrText xml:space="preserve"> PAGEREF _Toc66453629 \h </w:instrText>
            </w:r>
            <w:r w:rsidR="00B95704">
              <w:rPr>
                <w:noProof/>
                <w:webHidden/>
              </w:rPr>
            </w:r>
            <w:r w:rsidR="00B95704">
              <w:rPr>
                <w:noProof/>
                <w:webHidden/>
              </w:rPr>
              <w:fldChar w:fldCharType="separate"/>
            </w:r>
            <w:r w:rsidR="003A7834">
              <w:rPr>
                <w:noProof/>
                <w:webHidden/>
              </w:rPr>
              <w:t>9</w:t>
            </w:r>
            <w:r w:rsidR="00B95704">
              <w:rPr>
                <w:noProof/>
                <w:webHidden/>
              </w:rPr>
              <w:fldChar w:fldCharType="end"/>
            </w:r>
          </w:hyperlink>
        </w:p>
        <w:p w14:paraId="159942AE" w14:textId="28497C5A" w:rsidR="00B95704" w:rsidRDefault="005828A8">
          <w:pPr>
            <w:pStyle w:val="TM1"/>
            <w:tabs>
              <w:tab w:val="right" w:leader="dot" w:pos="8630"/>
            </w:tabs>
            <w:rPr>
              <w:rFonts w:eastAsiaTheme="minorEastAsia"/>
              <w:noProof/>
              <w:lang w:eastAsia="fr-CA"/>
            </w:rPr>
          </w:pPr>
          <w:hyperlink w:anchor="_Toc66453630" w:history="1">
            <w:r w:rsidR="00B95704" w:rsidRPr="00686962">
              <w:rPr>
                <w:rStyle w:val="Lienhypertexte"/>
                <w:rFonts w:ascii="Arial" w:hAnsi="Arial" w:cs="Arial"/>
                <w:noProof/>
              </w:rPr>
              <w:t>ADMISSIBILITÉ DES ORGANISMES À UN FINANCEMENT</w:t>
            </w:r>
            <w:r w:rsidR="00B95704">
              <w:rPr>
                <w:noProof/>
                <w:webHidden/>
              </w:rPr>
              <w:tab/>
            </w:r>
            <w:r w:rsidR="00B95704">
              <w:rPr>
                <w:noProof/>
                <w:webHidden/>
              </w:rPr>
              <w:fldChar w:fldCharType="begin"/>
            </w:r>
            <w:r w:rsidR="00B95704">
              <w:rPr>
                <w:noProof/>
                <w:webHidden/>
              </w:rPr>
              <w:instrText xml:space="preserve"> PAGEREF _Toc66453630 \h </w:instrText>
            </w:r>
            <w:r w:rsidR="00B95704">
              <w:rPr>
                <w:noProof/>
                <w:webHidden/>
              </w:rPr>
            </w:r>
            <w:r w:rsidR="00B95704">
              <w:rPr>
                <w:noProof/>
                <w:webHidden/>
              </w:rPr>
              <w:fldChar w:fldCharType="separate"/>
            </w:r>
            <w:r w:rsidR="003A7834">
              <w:rPr>
                <w:noProof/>
                <w:webHidden/>
              </w:rPr>
              <w:t>9</w:t>
            </w:r>
            <w:r w:rsidR="00B95704">
              <w:rPr>
                <w:noProof/>
                <w:webHidden/>
              </w:rPr>
              <w:fldChar w:fldCharType="end"/>
            </w:r>
          </w:hyperlink>
        </w:p>
        <w:p w14:paraId="339FCDCD" w14:textId="3E932309" w:rsidR="00B95704" w:rsidRDefault="005828A8">
          <w:pPr>
            <w:pStyle w:val="TM1"/>
            <w:tabs>
              <w:tab w:val="right" w:leader="dot" w:pos="8630"/>
            </w:tabs>
            <w:rPr>
              <w:rFonts w:eastAsiaTheme="minorEastAsia"/>
              <w:noProof/>
              <w:lang w:eastAsia="fr-CA"/>
            </w:rPr>
          </w:pPr>
          <w:hyperlink w:anchor="_Toc66453631" w:history="1">
            <w:r w:rsidR="00B95704" w:rsidRPr="00686962">
              <w:rPr>
                <w:rStyle w:val="Lienhypertexte"/>
                <w:rFonts w:ascii="Arial" w:hAnsi="Arial" w:cs="Arial"/>
                <w:noProof/>
              </w:rPr>
              <w:t>CRITÈRES DE SÉLECTION</w:t>
            </w:r>
            <w:r w:rsidR="00B95704">
              <w:rPr>
                <w:noProof/>
                <w:webHidden/>
              </w:rPr>
              <w:tab/>
            </w:r>
            <w:r w:rsidR="00B95704">
              <w:rPr>
                <w:noProof/>
                <w:webHidden/>
              </w:rPr>
              <w:fldChar w:fldCharType="begin"/>
            </w:r>
            <w:r w:rsidR="00B95704">
              <w:rPr>
                <w:noProof/>
                <w:webHidden/>
              </w:rPr>
              <w:instrText xml:space="preserve"> PAGEREF _Toc66453631 \h </w:instrText>
            </w:r>
            <w:r w:rsidR="00B95704">
              <w:rPr>
                <w:noProof/>
                <w:webHidden/>
              </w:rPr>
            </w:r>
            <w:r w:rsidR="00B95704">
              <w:rPr>
                <w:noProof/>
                <w:webHidden/>
              </w:rPr>
              <w:fldChar w:fldCharType="separate"/>
            </w:r>
            <w:r w:rsidR="003A7834">
              <w:rPr>
                <w:noProof/>
                <w:webHidden/>
              </w:rPr>
              <w:t>10</w:t>
            </w:r>
            <w:r w:rsidR="00B95704">
              <w:rPr>
                <w:noProof/>
                <w:webHidden/>
              </w:rPr>
              <w:fldChar w:fldCharType="end"/>
            </w:r>
          </w:hyperlink>
        </w:p>
        <w:p w14:paraId="14A6FAFB" w14:textId="6765E5A8" w:rsidR="00B95704" w:rsidRDefault="005828A8">
          <w:pPr>
            <w:pStyle w:val="TM1"/>
            <w:tabs>
              <w:tab w:val="right" w:leader="dot" w:pos="8630"/>
            </w:tabs>
            <w:rPr>
              <w:rFonts w:eastAsiaTheme="minorEastAsia"/>
              <w:noProof/>
              <w:lang w:eastAsia="fr-CA"/>
            </w:rPr>
          </w:pPr>
          <w:hyperlink w:anchor="_Toc66453632" w:history="1">
            <w:r w:rsidR="00B95704" w:rsidRPr="00686962">
              <w:rPr>
                <w:rStyle w:val="Lienhypertexte"/>
                <w:rFonts w:ascii="Arial" w:hAnsi="Arial" w:cs="Arial"/>
                <w:noProof/>
              </w:rPr>
              <w:t>TAUX ET SEUILS D’AIDE APPLICABLES</w:t>
            </w:r>
            <w:r w:rsidR="00B95704">
              <w:rPr>
                <w:noProof/>
                <w:webHidden/>
              </w:rPr>
              <w:tab/>
            </w:r>
            <w:r w:rsidR="00B95704">
              <w:rPr>
                <w:noProof/>
                <w:webHidden/>
              </w:rPr>
              <w:fldChar w:fldCharType="begin"/>
            </w:r>
            <w:r w:rsidR="00B95704">
              <w:rPr>
                <w:noProof/>
                <w:webHidden/>
              </w:rPr>
              <w:instrText xml:space="preserve"> PAGEREF _Toc66453632 \h </w:instrText>
            </w:r>
            <w:r w:rsidR="00B95704">
              <w:rPr>
                <w:noProof/>
                <w:webHidden/>
              </w:rPr>
            </w:r>
            <w:r w:rsidR="00B95704">
              <w:rPr>
                <w:noProof/>
                <w:webHidden/>
              </w:rPr>
              <w:fldChar w:fldCharType="separate"/>
            </w:r>
            <w:r w:rsidR="003A7834">
              <w:rPr>
                <w:noProof/>
                <w:webHidden/>
              </w:rPr>
              <w:t>10</w:t>
            </w:r>
            <w:r w:rsidR="00B95704">
              <w:rPr>
                <w:noProof/>
                <w:webHidden/>
              </w:rPr>
              <w:fldChar w:fldCharType="end"/>
            </w:r>
          </w:hyperlink>
        </w:p>
        <w:p w14:paraId="64F729ED" w14:textId="63559C44" w:rsidR="00B95704" w:rsidRDefault="005828A8">
          <w:pPr>
            <w:pStyle w:val="TM2"/>
            <w:tabs>
              <w:tab w:val="right" w:leader="dot" w:pos="8630"/>
            </w:tabs>
            <w:rPr>
              <w:rFonts w:eastAsiaTheme="minorEastAsia"/>
              <w:noProof/>
              <w:lang w:eastAsia="fr-CA"/>
            </w:rPr>
          </w:pPr>
          <w:hyperlink w:anchor="_Toc66453633" w:history="1">
            <w:r w:rsidR="00B95704" w:rsidRPr="00686962">
              <w:rPr>
                <w:rStyle w:val="Lienhypertexte"/>
                <w:rFonts w:ascii="Arial" w:hAnsi="Arial" w:cs="Arial"/>
                <w:noProof/>
              </w:rPr>
              <w:t>Cumul des aides</w:t>
            </w:r>
            <w:r w:rsidR="00B95704">
              <w:rPr>
                <w:noProof/>
                <w:webHidden/>
              </w:rPr>
              <w:tab/>
            </w:r>
            <w:r w:rsidR="00B95704">
              <w:rPr>
                <w:noProof/>
                <w:webHidden/>
              </w:rPr>
              <w:fldChar w:fldCharType="begin"/>
            </w:r>
            <w:r w:rsidR="00B95704">
              <w:rPr>
                <w:noProof/>
                <w:webHidden/>
              </w:rPr>
              <w:instrText xml:space="preserve"> PAGEREF _Toc66453633 \h </w:instrText>
            </w:r>
            <w:r w:rsidR="00B95704">
              <w:rPr>
                <w:noProof/>
                <w:webHidden/>
              </w:rPr>
            </w:r>
            <w:r w:rsidR="00B95704">
              <w:rPr>
                <w:noProof/>
                <w:webHidden/>
              </w:rPr>
              <w:fldChar w:fldCharType="separate"/>
            </w:r>
            <w:r w:rsidR="003A7834">
              <w:rPr>
                <w:noProof/>
                <w:webHidden/>
              </w:rPr>
              <w:t>11</w:t>
            </w:r>
            <w:r w:rsidR="00B95704">
              <w:rPr>
                <w:noProof/>
                <w:webHidden/>
              </w:rPr>
              <w:fldChar w:fldCharType="end"/>
            </w:r>
          </w:hyperlink>
        </w:p>
        <w:p w14:paraId="79105285" w14:textId="759BF5F0" w:rsidR="00B95704" w:rsidRDefault="005828A8">
          <w:pPr>
            <w:pStyle w:val="TM2"/>
            <w:tabs>
              <w:tab w:val="right" w:leader="dot" w:pos="8630"/>
            </w:tabs>
            <w:rPr>
              <w:rFonts w:eastAsiaTheme="minorEastAsia"/>
              <w:noProof/>
              <w:lang w:eastAsia="fr-CA"/>
            </w:rPr>
          </w:pPr>
          <w:hyperlink w:anchor="_Toc66453634" w:history="1">
            <w:r w:rsidR="00B95704" w:rsidRPr="00686962">
              <w:rPr>
                <w:rStyle w:val="Lienhypertexte"/>
                <w:rFonts w:ascii="Arial" w:hAnsi="Arial" w:cs="Arial"/>
                <w:noProof/>
              </w:rPr>
              <w:t>Règles spécifiques aux travaux de construction</w:t>
            </w:r>
            <w:r w:rsidR="00B95704">
              <w:rPr>
                <w:noProof/>
                <w:webHidden/>
              </w:rPr>
              <w:tab/>
            </w:r>
            <w:r w:rsidR="00B95704">
              <w:rPr>
                <w:noProof/>
                <w:webHidden/>
              </w:rPr>
              <w:fldChar w:fldCharType="begin"/>
            </w:r>
            <w:r w:rsidR="00B95704">
              <w:rPr>
                <w:noProof/>
                <w:webHidden/>
              </w:rPr>
              <w:instrText xml:space="preserve"> PAGEREF _Toc66453634 \h </w:instrText>
            </w:r>
            <w:r w:rsidR="00B95704">
              <w:rPr>
                <w:noProof/>
                <w:webHidden/>
              </w:rPr>
            </w:r>
            <w:r w:rsidR="00B95704">
              <w:rPr>
                <w:noProof/>
                <w:webHidden/>
              </w:rPr>
              <w:fldChar w:fldCharType="separate"/>
            </w:r>
            <w:r w:rsidR="003A7834">
              <w:rPr>
                <w:noProof/>
                <w:webHidden/>
              </w:rPr>
              <w:t>11</w:t>
            </w:r>
            <w:r w:rsidR="00B95704">
              <w:rPr>
                <w:noProof/>
                <w:webHidden/>
              </w:rPr>
              <w:fldChar w:fldCharType="end"/>
            </w:r>
          </w:hyperlink>
        </w:p>
        <w:p w14:paraId="023AA7F7" w14:textId="07E0DAB3" w:rsidR="00B95704" w:rsidRDefault="005828A8">
          <w:pPr>
            <w:pStyle w:val="TM1"/>
            <w:tabs>
              <w:tab w:val="right" w:leader="dot" w:pos="8630"/>
            </w:tabs>
            <w:rPr>
              <w:rFonts w:eastAsiaTheme="minorEastAsia"/>
              <w:noProof/>
              <w:lang w:eastAsia="fr-CA"/>
            </w:rPr>
          </w:pPr>
          <w:hyperlink w:anchor="_Toc66453635" w:history="1">
            <w:r w:rsidR="00B95704" w:rsidRPr="00686962">
              <w:rPr>
                <w:rStyle w:val="Lienhypertexte"/>
                <w:rFonts w:ascii="Arial" w:hAnsi="Arial" w:cs="Arial"/>
                <w:noProof/>
              </w:rPr>
              <w:t>GOUVERNANCE DU FONDS</w:t>
            </w:r>
            <w:r w:rsidR="00B95704">
              <w:rPr>
                <w:noProof/>
                <w:webHidden/>
              </w:rPr>
              <w:tab/>
            </w:r>
            <w:r w:rsidR="00B95704">
              <w:rPr>
                <w:noProof/>
                <w:webHidden/>
              </w:rPr>
              <w:fldChar w:fldCharType="begin"/>
            </w:r>
            <w:r w:rsidR="00B95704">
              <w:rPr>
                <w:noProof/>
                <w:webHidden/>
              </w:rPr>
              <w:instrText xml:space="preserve"> PAGEREF _Toc66453635 \h </w:instrText>
            </w:r>
            <w:r w:rsidR="00B95704">
              <w:rPr>
                <w:noProof/>
                <w:webHidden/>
              </w:rPr>
            </w:r>
            <w:r w:rsidR="00B95704">
              <w:rPr>
                <w:noProof/>
                <w:webHidden/>
              </w:rPr>
              <w:fldChar w:fldCharType="separate"/>
            </w:r>
            <w:r w:rsidR="003A7834">
              <w:rPr>
                <w:noProof/>
                <w:webHidden/>
              </w:rPr>
              <w:t>11</w:t>
            </w:r>
            <w:r w:rsidR="00B95704">
              <w:rPr>
                <w:noProof/>
                <w:webHidden/>
              </w:rPr>
              <w:fldChar w:fldCharType="end"/>
            </w:r>
          </w:hyperlink>
        </w:p>
        <w:p w14:paraId="1F4A54B9" w14:textId="2B3F1129" w:rsidR="00B95704" w:rsidRDefault="005828A8">
          <w:pPr>
            <w:pStyle w:val="TM1"/>
            <w:tabs>
              <w:tab w:val="right" w:leader="dot" w:pos="8630"/>
            </w:tabs>
            <w:rPr>
              <w:rFonts w:eastAsiaTheme="minorEastAsia"/>
              <w:noProof/>
              <w:lang w:eastAsia="fr-CA"/>
            </w:rPr>
          </w:pPr>
          <w:hyperlink w:anchor="_Toc66453636" w:history="1">
            <w:r w:rsidR="00B95704" w:rsidRPr="00686962">
              <w:rPr>
                <w:rStyle w:val="Lienhypertexte"/>
                <w:rFonts w:ascii="Arial" w:hAnsi="Arial" w:cs="Arial"/>
                <w:noProof/>
              </w:rPr>
              <w:t>INDICATEURS DE SUIVI</w:t>
            </w:r>
            <w:r w:rsidR="00B95704">
              <w:rPr>
                <w:noProof/>
                <w:webHidden/>
              </w:rPr>
              <w:tab/>
            </w:r>
            <w:r w:rsidR="00B95704">
              <w:rPr>
                <w:noProof/>
                <w:webHidden/>
              </w:rPr>
              <w:fldChar w:fldCharType="begin"/>
            </w:r>
            <w:r w:rsidR="00B95704">
              <w:rPr>
                <w:noProof/>
                <w:webHidden/>
              </w:rPr>
              <w:instrText xml:space="preserve"> PAGEREF _Toc66453636 \h </w:instrText>
            </w:r>
            <w:r w:rsidR="00B95704">
              <w:rPr>
                <w:noProof/>
                <w:webHidden/>
              </w:rPr>
            </w:r>
            <w:r w:rsidR="00B95704">
              <w:rPr>
                <w:noProof/>
                <w:webHidden/>
              </w:rPr>
              <w:fldChar w:fldCharType="separate"/>
            </w:r>
            <w:r w:rsidR="003A7834">
              <w:rPr>
                <w:noProof/>
                <w:webHidden/>
              </w:rPr>
              <w:t>12</w:t>
            </w:r>
            <w:r w:rsidR="00B95704">
              <w:rPr>
                <w:noProof/>
                <w:webHidden/>
              </w:rPr>
              <w:fldChar w:fldCharType="end"/>
            </w:r>
          </w:hyperlink>
        </w:p>
        <w:p w14:paraId="01A0F436" w14:textId="72B580EB" w:rsidR="00B95704" w:rsidRDefault="005828A8">
          <w:pPr>
            <w:pStyle w:val="TM1"/>
            <w:tabs>
              <w:tab w:val="right" w:leader="dot" w:pos="8630"/>
            </w:tabs>
            <w:rPr>
              <w:rFonts w:eastAsiaTheme="minorEastAsia"/>
              <w:noProof/>
              <w:lang w:eastAsia="fr-CA"/>
            </w:rPr>
          </w:pPr>
          <w:hyperlink w:anchor="_Toc66453637" w:history="1">
            <w:r w:rsidR="00B95704" w:rsidRPr="00686962">
              <w:rPr>
                <w:rStyle w:val="Lienhypertexte"/>
                <w:rFonts w:ascii="Arial" w:hAnsi="Arial" w:cs="Arial"/>
                <w:noProof/>
              </w:rPr>
              <w:t>RÉSULTATS ATTENDUS</w:t>
            </w:r>
            <w:r w:rsidR="00B95704">
              <w:rPr>
                <w:noProof/>
                <w:webHidden/>
              </w:rPr>
              <w:tab/>
            </w:r>
            <w:r w:rsidR="00B95704">
              <w:rPr>
                <w:noProof/>
                <w:webHidden/>
              </w:rPr>
              <w:fldChar w:fldCharType="begin"/>
            </w:r>
            <w:r w:rsidR="00B95704">
              <w:rPr>
                <w:noProof/>
                <w:webHidden/>
              </w:rPr>
              <w:instrText xml:space="preserve"> PAGEREF _Toc66453637 \h </w:instrText>
            </w:r>
            <w:r w:rsidR="00B95704">
              <w:rPr>
                <w:noProof/>
                <w:webHidden/>
              </w:rPr>
            </w:r>
            <w:r w:rsidR="00B95704">
              <w:rPr>
                <w:noProof/>
                <w:webHidden/>
              </w:rPr>
              <w:fldChar w:fldCharType="separate"/>
            </w:r>
            <w:r w:rsidR="003A7834">
              <w:rPr>
                <w:noProof/>
                <w:webHidden/>
              </w:rPr>
              <w:t>12</w:t>
            </w:r>
            <w:r w:rsidR="00B95704">
              <w:rPr>
                <w:noProof/>
                <w:webHidden/>
              </w:rPr>
              <w:fldChar w:fldCharType="end"/>
            </w:r>
          </w:hyperlink>
        </w:p>
        <w:p w14:paraId="613DC5A4" w14:textId="16C56C2C" w:rsidR="00A97155" w:rsidRPr="00456A18" w:rsidRDefault="00A97155">
          <w:pPr>
            <w:rPr>
              <w:rFonts w:ascii="Arial" w:hAnsi="Arial" w:cs="Arial"/>
            </w:rPr>
          </w:pPr>
          <w:r w:rsidRPr="00456A18">
            <w:rPr>
              <w:rFonts w:ascii="Arial" w:hAnsi="Arial" w:cs="Arial"/>
              <w:b/>
              <w:bCs/>
              <w:lang w:val="fr-FR"/>
            </w:rPr>
            <w:fldChar w:fldCharType="end"/>
          </w:r>
        </w:p>
      </w:sdtContent>
    </w:sdt>
    <w:p w14:paraId="3CB3CAEE" w14:textId="77777777" w:rsidR="003A6335" w:rsidRDefault="003A6335" w:rsidP="00E10044">
      <w:pPr>
        <w:pStyle w:val="Titre1"/>
        <w:rPr>
          <w:rFonts w:ascii="Arial" w:hAnsi="Arial" w:cs="Arial"/>
        </w:rPr>
      </w:pPr>
      <w:r>
        <w:rPr>
          <w:rFonts w:ascii="Arial" w:hAnsi="Arial" w:cs="Arial"/>
        </w:rPr>
        <w:br w:type="page"/>
      </w:r>
    </w:p>
    <w:p w14:paraId="4A3B2661" w14:textId="0358765B" w:rsidR="00D536D9" w:rsidRDefault="003A6335" w:rsidP="00E10044">
      <w:pPr>
        <w:pStyle w:val="Titre1"/>
        <w:rPr>
          <w:rFonts w:ascii="Arial" w:hAnsi="Arial" w:cs="Arial"/>
        </w:rPr>
      </w:pPr>
      <w:bookmarkStart w:id="0" w:name="_Toc66453611"/>
      <w:r w:rsidRPr="00456A18">
        <w:rPr>
          <w:rFonts w:ascii="Arial" w:hAnsi="Arial" w:cs="Arial"/>
        </w:rPr>
        <w:lastRenderedPageBreak/>
        <w:t>INTRODUCTION</w:t>
      </w:r>
      <w:bookmarkEnd w:id="0"/>
    </w:p>
    <w:p w14:paraId="73C1349B" w14:textId="77777777" w:rsidR="00CA553E" w:rsidRPr="00CA553E" w:rsidRDefault="00CA553E" w:rsidP="00CA553E">
      <w:pPr>
        <w:spacing w:after="0" w:line="240" w:lineRule="auto"/>
      </w:pPr>
    </w:p>
    <w:p w14:paraId="5A3C2144" w14:textId="07A406B8" w:rsidR="00CC06D7" w:rsidRPr="00456A18" w:rsidRDefault="00CC06D7" w:rsidP="00CC06D7">
      <w:pPr>
        <w:jc w:val="both"/>
        <w:rPr>
          <w:rFonts w:ascii="Arial" w:hAnsi="Arial" w:cs="Arial"/>
        </w:rPr>
      </w:pPr>
      <w:r w:rsidRPr="00456A18">
        <w:rPr>
          <w:rFonts w:ascii="Arial" w:hAnsi="Arial" w:cs="Arial"/>
        </w:rPr>
        <w:t>Depuis près de quarante ans, la MRC de Témiscouata œuvre de concert avec ses partenaires au développement de son territoire. La région a maintes fois fait preuve d’initiative</w:t>
      </w:r>
      <w:r w:rsidR="00CA553E">
        <w:rPr>
          <w:rFonts w:ascii="Arial" w:hAnsi="Arial" w:cs="Arial"/>
        </w:rPr>
        <w:t>s</w:t>
      </w:r>
      <w:r w:rsidRPr="00456A18">
        <w:rPr>
          <w:rFonts w:ascii="Arial" w:hAnsi="Arial" w:cs="Arial"/>
        </w:rPr>
        <w:t xml:space="preserve"> et de créativité dans l’élaboration et la réalisation de plusieurs projets</w:t>
      </w:r>
      <w:r w:rsidR="00806E12" w:rsidRPr="00456A18">
        <w:rPr>
          <w:rFonts w:ascii="Arial" w:hAnsi="Arial" w:cs="Arial"/>
        </w:rPr>
        <w:t>,</w:t>
      </w:r>
      <w:r w:rsidRPr="00456A18">
        <w:rPr>
          <w:rFonts w:ascii="Arial" w:hAnsi="Arial" w:cs="Arial"/>
        </w:rPr>
        <w:t xml:space="preserve"> dont la création du parc national, la tenue du Congrès mondial acadien 2014, la mise en service des Parcs éoliens Témiscouata I et II</w:t>
      </w:r>
      <w:r w:rsidR="00CA2328" w:rsidRPr="00456A18">
        <w:rPr>
          <w:rFonts w:ascii="Arial" w:hAnsi="Arial" w:cs="Arial"/>
        </w:rPr>
        <w:t xml:space="preserve"> ainsi que les parcs éoliens bas-laurenti</w:t>
      </w:r>
      <w:r w:rsidR="00CA0789" w:rsidRPr="00456A18">
        <w:rPr>
          <w:rFonts w:ascii="Arial" w:hAnsi="Arial" w:cs="Arial"/>
        </w:rPr>
        <w:t>ens</w:t>
      </w:r>
      <w:r w:rsidRPr="00456A18">
        <w:rPr>
          <w:rFonts w:ascii="Arial" w:hAnsi="Arial" w:cs="Arial"/>
        </w:rPr>
        <w:t>, le dossier</w:t>
      </w:r>
      <w:r w:rsidR="00CA0789" w:rsidRPr="00456A18">
        <w:rPr>
          <w:rFonts w:ascii="Arial" w:hAnsi="Arial" w:cs="Arial"/>
        </w:rPr>
        <w:t xml:space="preserve"> de parachèvement</w:t>
      </w:r>
      <w:r w:rsidRPr="00456A18">
        <w:rPr>
          <w:rFonts w:ascii="Arial" w:hAnsi="Arial" w:cs="Arial"/>
        </w:rPr>
        <w:t xml:space="preserve"> de l’autoroute Claude-Béchard, la mise sur pied d’un Centre d’études collégiales, la création du Fonds jeunesse et la réussite de la démarche COSMOSS en sont autant d’exemples. </w:t>
      </w:r>
    </w:p>
    <w:p w14:paraId="4FD51939" w14:textId="77777777" w:rsidR="00CC06D7" w:rsidRPr="00456A18" w:rsidRDefault="00CC06D7" w:rsidP="00CC06D7">
      <w:pPr>
        <w:jc w:val="both"/>
        <w:rPr>
          <w:rFonts w:ascii="Arial" w:hAnsi="Arial" w:cs="Arial"/>
        </w:rPr>
      </w:pPr>
      <w:r w:rsidRPr="00456A18">
        <w:rPr>
          <w:rFonts w:ascii="Arial" w:hAnsi="Arial" w:cs="Arial"/>
        </w:rPr>
        <w:t xml:space="preserve">Néanmoins, malgré l’ampleur de ces réussites, il n’en demeure pas moins que la MRC de Témiscouata fait face à des défis de taille. En effet, la région est exposée depuis un certain nombre d’années à un phénomène de dévitalisation qui se traduit, en premier lieu, par un épisode soutenu de baisse démographique. </w:t>
      </w:r>
    </w:p>
    <w:p w14:paraId="3D3592A6" w14:textId="605AE2AC" w:rsidR="00CC06D7" w:rsidRPr="00456A18" w:rsidRDefault="00CC06D7" w:rsidP="00CC06D7">
      <w:pPr>
        <w:jc w:val="both"/>
        <w:rPr>
          <w:rFonts w:ascii="Arial" w:hAnsi="Arial" w:cs="Arial"/>
        </w:rPr>
      </w:pPr>
      <w:r w:rsidRPr="00456A18">
        <w:rPr>
          <w:rFonts w:ascii="Arial" w:hAnsi="Arial" w:cs="Arial"/>
        </w:rPr>
        <w:t>Face à ce constat et dans le but de freiner le phénomène de dévitalisation, le Conseil de la MRC de Témiscouata souhaite se doter d’un plan de vitalisation pour son développement. À terme, cet exercice permettra à la MRC de se construire une vision partagée de son avenir, de maximiser l’utilisation de ses ressources ainsi que d’assurer la cohérence et la cohésion de ses actions.</w:t>
      </w:r>
    </w:p>
    <w:p w14:paraId="4B47B635" w14:textId="3AA2670F" w:rsidR="0084419F" w:rsidRPr="00456A18" w:rsidRDefault="0084419F" w:rsidP="00D55B38">
      <w:pPr>
        <w:jc w:val="both"/>
        <w:rPr>
          <w:rFonts w:ascii="Arial" w:hAnsi="Arial" w:cs="Arial"/>
        </w:rPr>
      </w:pPr>
      <w:r w:rsidRPr="00456A18">
        <w:rPr>
          <w:rFonts w:ascii="Arial" w:hAnsi="Arial" w:cs="Arial"/>
        </w:rPr>
        <w:t xml:space="preserve">Les élus de la MRC </w:t>
      </w:r>
      <w:r w:rsidR="00275A30" w:rsidRPr="00456A18">
        <w:rPr>
          <w:rFonts w:ascii="Arial" w:hAnsi="Arial" w:cs="Arial"/>
        </w:rPr>
        <w:t>accueillent avec enthousiasme la création d’un volet spécifique à la vitalisation dans le Fonds région</w:t>
      </w:r>
      <w:r w:rsidR="00CA553E">
        <w:rPr>
          <w:rFonts w:ascii="Arial" w:hAnsi="Arial" w:cs="Arial"/>
        </w:rPr>
        <w:t>s</w:t>
      </w:r>
      <w:r w:rsidR="00275A30" w:rsidRPr="00456A18">
        <w:rPr>
          <w:rFonts w:ascii="Arial" w:hAnsi="Arial" w:cs="Arial"/>
        </w:rPr>
        <w:t xml:space="preserve"> et ruralité (FRR). Les sommes importantes qui seront reçues </w:t>
      </w:r>
      <w:r w:rsidR="00E72877" w:rsidRPr="00456A18">
        <w:rPr>
          <w:rFonts w:ascii="Arial" w:hAnsi="Arial" w:cs="Arial"/>
          <w:color w:val="000000" w:themeColor="text1"/>
        </w:rPr>
        <w:t xml:space="preserve">serviront à </w:t>
      </w:r>
      <w:r w:rsidR="00275A30" w:rsidRPr="00456A18">
        <w:rPr>
          <w:rFonts w:ascii="Arial" w:hAnsi="Arial" w:cs="Arial"/>
        </w:rPr>
        <w:t>mettre en œuvre des idées novatrices qui permettront de concrétiser ce nouvel élan pour notre région. Les élus sont déjà mobilisés à cet effet et ils travaillent avec des moyens concrets comme le fonds de développement éolien pour créer de la richesse dans le milieu. Les nouveaux moyens issus du FRR donneront encore plus d’envergure à une stratégie bien structurée de vitalisation pour le Témiscouata.</w:t>
      </w:r>
    </w:p>
    <w:p w14:paraId="1925E92C" w14:textId="77777777" w:rsidR="00275A30" w:rsidRPr="00456A18" w:rsidRDefault="00275A30" w:rsidP="00D55B38">
      <w:pPr>
        <w:jc w:val="both"/>
        <w:rPr>
          <w:rFonts w:ascii="Arial" w:hAnsi="Arial" w:cs="Arial"/>
        </w:rPr>
      </w:pPr>
    </w:p>
    <w:p w14:paraId="5E6EEF42" w14:textId="77777777" w:rsidR="00275A30" w:rsidRPr="00456A18" w:rsidRDefault="00275A30" w:rsidP="00E10044">
      <w:pPr>
        <w:pStyle w:val="Titre2"/>
        <w:rPr>
          <w:rFonts w:ascii="Arial" w:hAnsi="Arial" w:cs="Arial"/>
        </w:rPr>
      </w:pPr>
      <w:bookmarkStart w:id="1" w:name="_Toc66453612"/>
      <w:r w:rsidRPr="00456A18">
        <w:rPr>
          <w:rFonts w:ascii="Arial" w:hAnsi="Arial" w:cs="Arial"/>
        </w:rPr>
        <w:t>Les indicateurs de vitalisation en 2020</w:t>
      </w:r>
      <w:bookmarkEnd w:id="1"/>
    </w:p>
    <w:p w14:paraId="60DDB29B" w14:textId="77777777" w:rsidR="00275A30" w:rsidRPr="00456A18" w:rsidRDefault="00275A30" w:rsidP="00D55B38">
      <w:pPr>
        <w:jc w:val="both"/>
        <w:rPr>
          <w:rFonts w:ascii="Arial" w:hAnsi="Arial" w:cs="Arial"/>
        </w:rPr>
      </w:pPr>
      <w:r w:rsidRPr="00456A18">
        <w:rPr>
          <w:rFonts w:ascii="Arial" w:hAnsi="Arial" w:cs="Arial"/>
        </w:rPr>
        <w:t xml:space="preserve">Le gouvernement du Québec utilise l’indice de vitalité économique développé par l’Institut de la statistique pour déterminer quelles sont les MRC qui sont admissibles au volet 4 du FRR. </w:t>
      </w:r>
      <w:r w:rsidR="00C2472E" w:rsidRPr="00456A18">
        <w:rPr>
          <w:rFonts w:ascii="Arial" w:hAnsi="Arial" w:cs="Arial"/>
        </w:rPr>
        <w:t xml:space="preserve">Cette donnée, bien qu’imparfaite, nous donne des pistes à suivre pour améliorer la prospérité et le dynamisme de notre territoire. </w:t>
      </w:r>
    </w:p>
    <w:p w14:paraId="3419D946" w14:textId="77777777" w:rsidR="00C2472E" w:rsidRPr="00456A18" w:rsidRDefault="00C2472E" w:rsidP="00D55B38">
      <w:pPr>
        <w:jc w:val="both"/>
        <w:rPr>
          <w:rFonts w:ascii="Arial" w:hAnsi="Arial" w:cs="Arial"/>
        </w:rPr>
      </w:pPr>
      <w:r w:rsidRPr="00456A18">
        <w:rPr>
          <w:rFonts w:ascii="Arial" w:hAnsi="Arial" w:cs="Arial"/>
        </w:rPr>
        <w:t xml:space="preserve">L’indice de vitalité économique repose sur </w:t>
      </w:r>
      <w:r w:rsidR="003E2FB3" w:rsidRPr="00456A18">
        <w:rPr>
          <w:rFonts w:ascii="Arial" w:hAnsi="Arial" w:cs="Arial"/>
        </w:rPr>
        <w:t xml:space="preserve">la mise en relation du </w:t>
      </w:r>
      <w:r w:rsidR="003E2FB3" w:rsidRPr="00456A18">
        <w:rPr>
          <w:rFonts w:ascii="Arial" w:hAnsi="Arial" w:cs="Arial"/>
          <w:i/>
          <w:iCs/>
        </w:rPr>
        <w:t>r</w:t>
      </w:r>
      <w:r w:rsidR="003E2FB3" w:rsidRPr="00456A18">
        <w:rPr>
          <w:rFonts w:ascii="Arial" w:hAnsi="Arial" w:cs="Arial"/>
          <w:i/>
          <w:iCs/>
          <w:shd w:val="clear" w:color="auto" w:fill="FFFFFF"/>
        </w:rPr>
        <w:t>evenu total médian des particuliers de 18 ans et plus</w:t>
      </w:r>
      <w:r w:rsidR="003E2FB3" w:rsidRPr="00456A18">
        <w:rPr>
          <w:rFonts w:ascii="Arial" w:hAnsi="Arial" w:cs="Arial"/>
          <w:shd w:val="clear" w:color="auto" w:fill="FFFFFF"/>
        </w:rPr>
        <w:t xml:space="preserve">, du </w:t>
      </w:r>
      <w:r w:rsidR="003E2FB3" w:rsidRPr="00456A18">
        <w:rPr>
          <w:rFonts w:ascii="Arial" w:hAnsi="Arial" w:cs="Arial"/>
          <w:i/>
          <w:iCs/>
          <w:shd w:val="clear" w:color="auto" w:fill="FFFFFF"/>
        </w:rPr>
        <w:t>taux de travailleurs des 25-64 ans</w:t>
      </w:r>
      <w:r w:rsidR="003E2FB3" w:rsidRPr="00456A18">
        <w:rPr>
          <w:rFonts w:ascii="Arial" w:hAnsi="Arial" w:cs="Arial"/>
          <w:shd w:val="clear" w:color="auto" w:fill="FFFFFF"/>
        </w:rPr>
        <w:t xml:space="preserve"> et du </w:t>
      </w:r>
      <w:r w:rsidR="003E2FB3" w:rsidRPr="00456A18">
        <w:rPr>
          <w:rFonts w:ascii="Arial" w:hAnsi="Arial" w:cs="Arial"/>
          <w:i/>
          <w:iCs/>
          <w:shd w:val="clear" w:color="auto" w:fill="FFFFFF"/>
        </w:rPr>
        <w:t>taux d’accroissement annuel moyen de la population sur 5 ans</w:t>
      </w:r>
      <w:r w:rsidR="003E2FB3" w:rsidRPr="00456A18">
        <w:rPr>
          <w:rFonts w:ascii="Arial" w:hAnsi="Arial" w:cs="Arial"/>
          <w:shd w:val="clear" w:color="auto" w:fill="FFFFFF"/>
        </w:rPr>
        <w:t>. Dans cette perspective, plus de vitalité équivaut à une population plus active, plus nombreuse et mieux rémunérée. Bien entendu, ces trois variables ne rendent pas compte de l’ensemble du dynamisme d’une région, mais elles l’expliquent au moins en partie.</w:t>
      </w:r>
    </w:p>
    <w:p w14:paraId="5EB11AA9" w14:textId="428A99DC" w:rsidR="00C2472E" w:rsidRPr="00456A18" w:rsidRDefault="00C2472E" w:rsidP="00D55B38">
      <w:pPr>
        <w:jc w:val="both"/>
        <w:rPr>
          <w:rFonts w:ascii="Arial" w:hAnsi="Arial" w:cs="Arial"/>
        </w:rPr>
      </w:pPr>
      <w:r w:rsidRPr="00456A18">
        <w:rPr>
          <w:rFonts w:ascii="Arial" w:hAnsi="Arial" w:cs="Arial"/>
        </w:rPr>
        <w:lastRenderedPageBreak/>
        <w:t>La MRC de Témiscouata est au 91</w:t>
      </w:r>
      <w:r w:rsidR="00A17D6D">
        <w:rPr>
          <w:rFonts w:ascii="Arial" w:hAnsi="Arial" w:cs="Arial"/>
          <w:vertAlign w:val="superscript"/>
        </w:rPr>
        <w:t xml:space="preserve">e </w:t>
      </w:r>
      <w:r w:rsidRPr="00456A18">
        <w:rPr>
          <w:rFonts w:ascii="Arial" w:hAnsi="Arial" w:cs="Arial"/>
        </w:rPr>
        <w:t>rang de 104 pour la version 2016 de l’indice québécois et au 6</w:t>
      </w:r>
      <w:r w:rsidRPr="00456A18">
        <w:rPr>
          <w:rFonts w:ascii="Arial" w:hAnsi="Arial" w:cs="Arial"/>
          <w:vertAlign w:val="superscript"/>
        </w:rPr>
        <w:t>e</w:t>
      </w:r>
      <w:r w:rsidRPr="00456A18">
        <w:rPr>
          <w:rFonts w:ascii="Arial" w:hAnsi="Arial" w:cs="Arial"/>
        </w:rPr>
        <w:t xml:space="preserve"> rang de 8 pour le Bas-Saint-Laurent. </w:t>
      </w:r>
      <w:r w:rsidR="003E2FB3" w:rsidRPr="00456A18">
        <w:rPr>
          <w:rFonts w:ascii="Arial" w:hAnsi="Arial" w:cs="Arial"/>
        </w:rPr>
        <w:t>Depuis la compilation des données, on constate que notre territoire a amélioré globalement son positionnement, notamment après l’année 2011 où la MRC atteignait un classement de 102 sur 104.</w:t>
      </w:r>
    </w:p>
    <w:p w14:paraId="4B58A321" w14:textId="77777777" w:rsidR="003E2FB3" w:rsidRPr="00456A18" w:rsidRDefault="003E2FB3" w:rsidP="00D536D9">
      <w:pPr>
        <w:rPr>
          <w:rFonts w:ascii="Arial" w:hAnsi="Arial" w:cs="Arial"/>
        </w:rPr>
      </w:pPr>
    </w:p>
    <w:p w14:paraId="22770BBF" w14:textId="77777777" w:rsidR="003E2FB3" w:rsidRPr="00456A18" w:rsidRDefault="003E2FB3" w:rsidP="00E10044">
      <w:pPr>
        <w:pStyle w:val="Titre2"/>
        <w:rPr>
          <w:rFonts w:ascii="Arial" w:hAnsi="Arial" w:cs="Arial"/>
        </w:rPr>
      </w:pPr>
      <w:bookmarkStart w:id="2" w:name="_Toc66453613"/>
      <w:r w:rsidRPr="00456A18">
        <w:rPr>
          <w:rFonts w:ascii="Arial" w:hAnsi="Arial" w:cs="Arial"/>
        </w:rPr>
        <w:t>Énoncé de vision</w:t>
      </w:r>
      <w:bookmarkEnd w:id="2"/>
    </w:p>
    <w:p w14:paraId="4C0A614C" w14:textId="319FCD88" w:rsidR="006B4C17" w:rsidRPr="00456A18" w:rsidRDefault="003E2FB3" w:rsidP="00D55B38">
      <w:pPr>
        <w:jc w:val="both"/>
        <w:rPr>
          <w:rFonts w:ascii="Arial" w:hAnsi="Arial" w:cs="Arial"/>
        </w:rPr>
      </w:pPr>
      <w:r w:rsidRPr="00456A18">
        <w:rPr>
          <w:rFonts w:ascii="Arial" w:hAnsi="Arial" w:cs="Arial"/>
        </w:rPr>
        <w:t>Depuis quelques années, les élus de la MRC de Témiscouata travaillent en fonction d’une vision commune issue d’exercices de planification et de priorisation</w:t>
      </w:r>
      <w:r w:rsidR="00CC06D7" w:rsidRPr="00456A18">
        <w:rPr>
          <w:rFonts w:ascii="Arial" w:hAnsi="Arial" w:cs="Arial"/>
        </w:rPr>
        <w:t xml:space="preserve"> sur plusieurs années</w:t>
      </w:r>
      <w:r w:rsidRPr="00456A18">
        <w:rPr>
          <w:rFonts w:ascii="Arial" w:hAnsi="Arial" w:cs="Arial"/>
        </w:rPr>
        <w:t xml:space="preserve">. </w:t>
      </w:r>
      <w:r w:rsidR="0060481C" w:rsidRPr="00456A18">
        <w:rPr>
          <w:rFonts w:ascii="Arial" w:hAnsi="Arial" w:cs="Arial"/>
        </w:rPr>
        <w:t xml:space="preserve">Ce consensus régional repose sur </w:t>
      </w:r>
      <w:r w:rsidR="00CC06D7" w:rsidRPr="00456A18">
        <w:rPr>
          <w:rFonts w:ascii="Arial" w:hAnsi="Arial" w:cs="Arial"/>
        </w:rPr>
        <w:t xml:space="preserve">les </w:t>
      </w:r>
      <w:r w:rsidR="0008489F" w:rsidRPr="00456A18">
        <w:rPr>
          <w:rFonts w:ascii="Arial" w:hAnsi="Arial" w:cs="Arial"/>
        </w:rPr>
        <w:t>quatre</w:t>
      </w:r>
      <w:r w:rsidR="00CC06D7" w:rsidRPr="00456A18">
        <w:rPr>
          <w:rFonts w:ascii="Arial" w:hAnsi="Arial" w:cs="Arial"/>
        </w:rPr>
        <w:t xml:space="preserve"> pivots principaux que sont l’attractivité, la compétitivité</w:t>
      </w:r>
      <w:r w:rsidR="00D055C4" w:rsidRPr="00456A18">
        <w:rPr>
          <w:rFonts w:ascii="Arial" w:hAnsi="Arial" w:cs="Arial"/>
        </w:rPr>
        <w:t xml:space="preserve">, </w:t>
      </w:r>
      <w:r w:rsidR="00CC06D7" w:rsidRPr="00456A18">
        <w:rPr>
          <w:rFonts w:ascii="Arial" w:hAnsi="Arial" w:cs="Arial"/>
        </w:rPr>
        <w:t>l’optimisation</w:t>
      </w:r>
      <w:r w:rsidR="00D055C4" w:rsidRPr="00456A18">
        <w:rPr>
          <w:rFonts w:ascii="Arial" w:hAnsi="Arial" w:cs="Arial"/>
        </w:rPr>
        <w:t xml:space="preserve"> et l’équité</w:t>
      </w:r>
      <w:r w:rsidR="0060481C" w:rsidRPr="00456A18">
        <w:rPr>
          <w:rFonts w:ascii="Arial" w:hAnsi="Arial" w:cs="Arial"/>
        </w:rPr>
        <w:t xml:space="preserve">. </w:t>
      </w:r>
    </w:p>
    <w:p w14:paraId="45438251" w14:textId="77777777" w:rsidR="0060481C" w:rsidRPr="00456A18" w:rsidRDefault="0060481C" w:rsidP="00D55B38">
      <w:pPr>
        <w:jc w:val="both"/>
        <w:rPr>
          <w:rFonts w:ascii="Arial" w:hAnsi="Arial" w:cs="Arial"/>
          <w:b/>
        </w:rPr>
      </w:pPr>
      <w:r w:rsidRPr="00456A18">
        <w:rPr>
          <w:rFonts w:ascii="Arial" w:hAnsi="Arial" w:cs="Arial"/>
          <w:b/>
        </w:rPr>
        <w:t>Reconnue comme un territoire qui offre un cadre de vie d’une qualité exceptionnelle, la MRC de Témiscouata est attractive par sa capacité d’accueil et son ouverture aux nouvelles opportunités.</w:t>
      </w:r>
    </w:p>
    <w:p w14:paraId="49EB31DF" w14:textId="77777777" w:rsidR="0060481C" w:rsidRPr="00456A18" w:rsidRDefault="0060481C" w:rsidP="00D55B38">
      <w:pPr>
        <w:jc w:val="both"/>
        <w:rPr>
          <w:rFonts w:ascii="Arial" w:hAnsi="Arial" w:cs="Arial"/>
          <w:b/>
        </w:rPr>
      </w:pPr>
      <w:r w:rsidRPr="00456A18">
        <w:rPr>
          <w:rFonts w:ascii="Arial" w:hAnsi="Arial" w:cs="Arial"/>
          <w:b/>
        </w:rPr>
        <w:t xml:space="preserve">Riche d’un réseau d’entrepreneurs et d’entreprises dynamiques et en maîtrise des technologies de pointe, la MRC de Témiscouata renforce sa compétitivité par sa capacité d’innover, par l’amélioration de ses savoir-faire et par l’horizon prometteur qu’elle offre aux travailleurs. </w:t>
      </w:r>
    </w:p>
    <w:p w14:paraId="5EE506AF" w14:textId="7E499E35" w:rsidR="0060481C" w:rsidRPr="00456A18" w:rsidRDefault="0060481C" w:rsidP="00D55B38">
      <w:pPr>
        <w:jc w:val="both"/>
        <w:rPr>
          <w:rFonts w:ascii="Arial" w:hAnsi="Arial" w:cs="Arial"/>
          <w:b/>
        </w:rPr>
      </w:pPr>
      <w:r w:rsidRPr="00456A18">
        <w:rPr>
          <w:rFonts w:ascii="Arial" w:hAnsi="Arial" w:cs="Arial"/>
          <w:b/>
        </w:rPr>
        <w:t>Soucieuse de travailler sur une base de coopération, la MRC de Témiscouata offre à sa communauté une diversité de services et d’infrastructures optimisés qui sont déployés en fonction des complémentarités et des spécialisations de chacun.</w:t>
      </w:r>
    </w:p>
    <w:p w14:paraId="6C92E5F4" w14:textId="1964DDB8" w:rsidR="00E53FBC" w:rsidRPr="00456A18" w:rsidRDefault="008121C9" w:rsidP="00D55B38">
      <w:pPr>
        <w:jc w:val="both"/>
        <w:rPr>
          <w:rFonts w:ascii="Arial" w:hAnsi="Arial" w:cs="Arial"/>
          <w:b/>
        </w:rPr>
      </w:pPr>
      <w:r w:rsidRPr="00456A18">
        <w:rPr>
          <w:rFonts w:ascii="Arial" w:hAnsi="Arial" w:cs="Arial"/>
          <w:b/>
        </w:rPr>
        <w:t xml:space="preserve">Pour que chaque municipalité locale ait un accès équitable au développement, la MRC </w:t>
      </w:r>
      <w:r w:rsidR="00F92982" w:rsidRPr="00456A18">
        <w:rPr>
          <w:rFonts w:ascii="Arial" w:hAnsi="Arial" w:cs="Arial"/>
          <w:b/>
        </w:rPr>
        <w:t>entend poser des gestes concrets</w:t>
      </w:r>
      <w:r w:rsidR="00E16B16" w:rsidRPr="00456A18">
        <w:rPr>
          <w:rFonts w:ascii="Arial" w:hAnsi="Arial" w:cs="Arial"/>
          <w:b/>
        </w:rPr>
        <w:t xml:space="preserve"> </w:t>
      </w:r>
      <w:r w:rsidR="00F92982" w:rsidRPr="00456A18">
        <w:rPr>
          <w:rFonts w:ascii="Arial" w:hAnsi="Arial" w:cs="Arial"/>
          <w:b/>
        </w:rPr>
        <w:t xml:space="preserve">afin </w:t>
      </w:r>
      <w:r w:rsidR="00800812" w:rsidRPr="00456A18">
        <w:rPr>
          <w:rFonts w:ascii="Arial" w:hAnsi="Arial" w:cs="Arial"/>
          <w:b/>
        </w:rPr>
        <w:t>de soutenir les initiatives, les services et les équipements</w:t>
      </w:r>
      <w:r w:rsidR="00C82003" w:rsidRPr="00456A18">
        <w:rPr>
          <w:rFonts w:ascii="Arial" w:hAnsi="Arial" w:cs="Arial"/>
          <w:b/>
        </w:rPr>
        <w:t xml:space="preserve"> spécifiquement </w:t>
      </w:r>
      <w:r w:rsidR="00E16B16" w:rsidRPr="00456A18">
        <w:rPr>
          <w:rFonts w:ascii="Arial" w:hAnsi="Arial" w:cs="Arial"/>
          <w:b/>
        </w:rPr>
        <w:t xml:space="preserve">dans les municipalités </w:t>
      </w:r>
      <w:r w:rsidR="007104C8" w:rsidRPr="00456A18">
        <w:rPr>
          <w:rFonts w:ascii="Arial" w:hAnsi="Arial" w:cs="Arial"/>
          <w:b/>
        </w:rPr>
        <w:t>dévitalisées qui ont un indice de vitalité économique faible.</w:t>
      </w:r>
    </w:p>
    <w:p w14:paraId="133E5D24" w14:textId="77777777" w:rsidR="00FD0C27" w:rsidRPr="00456A18" w:rsidRDefault="00FD0C27" w:rsidP="00D536D9">
      <w:pPr>
        <w:rPr>
          <w:rFonts w:ascii="Arial" w:hAnsi="Arial" w:cs="Arial"/>
          <w:b/>
          <w:bCs/>
          <w:i/>
          <w:iCs/>
          <w:u w:val="single"/>
        </w:rPr>
      </w:pPr>
    </w:p>
    <w:p w14:paraId="5A87E154" w14:textId="77777777" w:rsidR="00D55B38" w:rsidRPr="00456A18" w:rsidRDefault="00D55B38">
      <w:pPr>
        <w:rPr>
          <w:rFonts w:ascii="Arial" w:hAnsi="Arial" w:cs="Arial"/>
          <w:b/>
          <w:bCs/>
          <w:i/>
          <w:iCs/>
          <w:u w:val="single"/>
        </w:rPr>
      </w:pPr>
      <w:r w:rsidRPr="00456A18">
        <w:rPr>
          <w:rFonts w:ascii="Arial" w:hAnsi="Arial" w:cs="Arial"/>
          <w:b/>
          <w:bCs/>
          <w:i/>
          <w:iCs/>
          <w:u w:val="single"/>
        </w:rPr>
        <w:br w:type="page"/>
      </w:r>
    </w:p>
    <w:p w14:paraId="29DC36A6" w14:textId="19C70067" w:rsidR="0060481C" w:rsidRPr="00456A18" w:rsidRDefault="008B66A3" w:rsidP="00E10044">
      <w:pPr>
        <w:pStyle w:val="Titre1"/>
        <w:rPr>
          <w:rFonts w:ascii="Arial" w:hAnsi="Arial" w:cs="Arial"/>
        </w:rPr>
      </w:pPr>
      <w:bookmarkStart w:id="3" w:name="_Toc66453614"/>
      <w:r w:rsidRPr="00456A18">
        <w:rPr>
          <w:rFonts w:ascii="Arial" w:hAnsi="Arial" w:cs="Arial"/>
        </w:rPr>
        <w:lastRenderedPageBreak/>
        <w:t>DIX AXES DE VITALISATION</w:t>
      </w:r>
      <w:bookmarkEnd w:id="3"/>
    </w:p>
    <w:p w14:paraId="1E8306B5" w14:textId="77777777" w:rsidR="00394117" w:rsidRDefault="00394117" w:rsidP="00394117">
      <w:pPr>
        <w:spacing w:after="0" w:line="240" w:lineRule="auto"/>
        <w:jc w:val="both"/>
        <w:rPr>
          <w:rFonts w:ascii="Arial" w:hAnsi="Arial" w:cs="Arial"/>
        </w:rPr>
      </w:pPr>
    </w:p>
    <w:p w14:paraId="00293DB3" w14:textId="22F797AF" w:rsidR="00FD0C27" w:rsidRPr="00456A18" w:rsidRDefault="00FD0C27" w:rsidP="00D55B38">
      <w:pPr>
        <w:jc w:val="both"/>
        <w:rPr>
          <w:rFonts w:ascii="Arial" w:hAnsi="Arial" w:cs="Arial"/>
        </w:rPr>
      </w:pPr>
      <w:r w:rsidRPr="00456A18">
        <w:rPr>
          <w:rFonts w:ascii="Arial" w:hAnsi="Arial" w:cs="Arial"/>
        </w:rPr>
        <w:t xml:space="preserve">Pour donner corps à la vision du Conseil, les élus souhaitent orienter l’utilisation des sommes du volet 4 du FRR en fonction de </w:t>
      </w:r>
      <w:r w:rsidR="0057486E">
        <w:rPr>
          <w:rFonts w:ascii="Arial" w:hAnsi="Arial" w:cs="Arial"/>
        </w:rPr>
        <w:t>dix</w:t>
      </w:r>
      <w:r w:rsidR="00EB1592" w:rsidRPr="00456A18">
        <w:rPr>
          <w:rFonts w:ascii="Arial" w:hAnsi="Arial" w:cs="Arial"/>
        </w:rPr>
        <w:t xml:space="preserve"> axes qui sont des</w:t>
      </w:r>
      <w:r w:rsidRPr="00456A18">
        <w:rPr>
          <w:rFonts w:ascii="Arial" w:hAnsi="Arial" w:cs="Arial"/>
        </w:rPr>
        <w:t xml:space="preserve"> priorités d’action porteuses de vitalité pour la région.</w:t>
      </w:r>
    </w:p>
    <w:p w14:paraId="4930A2C4" w14:textId="248CDEA5" w:rsidR="00FD0C27" w:rsidRPr="00456A18" w:rsidRDefault="00FD0C27" w:rsidP="0057486E">
      <w:pPr>
        <w:pStyle w:val="Titre3"/>
        <w:numPr>
          <w:ilvl w:val="0"/>
          <w:numId w:val="9"/>
        </w:numPr>
        <w:ind w:hanging="720"/>
        <w:rPr>
          <w:rFonts w:ascii="Arial" w:hAnsi="Arial" w:cs="Arial"/>
        </w:rPr>
      </w:pPr>
      <w:bookmarkStart w:id="4" w:name="_Toc66453615"/>
      <w:r w:rsidRPr="00456A18">
        <w:rPr>
          <w:rFonts w:ascii="Arial" w:hAnsi="Arial" w:cs="Arial"/>
        </w:rPr>
        <w:t>La sécurité</w:t>
      </w:r>
      <w:bookmarkEnd w:id="4"/>
    </w:p>
    <w:p w14:paraId="69E10F85" w14:textId="45DD2149" w:rsidR="00FD0C27" w:rsidRPr="00456A18" w:rsidRDefault="0034358B" w:rsidP="00394117">
      <w:pPr>
        <w:jc w:val="both"/>
        <w:rPr>
          <w:rFonts w:ascii="Arial" w:hAnsi="Arial" w:cs="Arial"/>
        </w:rPr>
      </w:pPr>
      <w:r w:rsidRPr="00456A18">
        <w:rPr>
          <w:rFonts w:ascii="Arial" w:hAnsi="Arial" w:cs="Arial"/>
        </w:rPr>
        <w:t xml:space="preserve">Assurer la sécurité des personnes et des biens est une fonction essentielle de toute institution publique. C’est également </w:t>
      </w:r>
      <w:r w:rsidR="00EB309F" w:rsidRPr="00456A18">
        <w:rPr>
          <w:rFonts w:ascii="Arial" w:hAnsi="Arial" w:cs="Arial"/>
        </w:rPr>
        <w:t>de</w:t>
      </w:r>
      <w:r w:rsidRPr="00456A18">
        <w:rPr>
          <w:rFonts w:ascii="Arial" w:hAnsi="Arial" w:cs="Arial"/>
        </w:rPr>
        <w:t xml:space="preserve"> </w:t>
      </w:r>
      <w:r w:rsidR="00EB309F" w:rsidRPr="00456A18">
        <w:rPr>
          <w:rFonts w:ascii="Arial" w:hAnsi="Arial" w:cs="Arial"/>
        </w:rPr>
        <w:t>r</w:t>
      </w:r>
      <w:r w:rsidRPr="00456A18">
        <w:rPr>
          <w:rFonts w:ascii="Arial" w:hAnsi="Arial" w:cs="Arial"/>
        </w:rPr>
        <w:t>assur</w:t>
      </w:r>
      <w:r w:rsidR="00EB309F" w:rsidRPr="00456A18">
        <w:rPr>
          <w:rFonts w:ascii="Arial" w:hAnsi="Arial" w:cs="Arial"/>
        </w:rPr>
        <w:t>er</w:t>
      </w:r>
      <w:r w:rsidRPr="00456A18">
        <w:rPr>
          <w:rFonts w:ascii="Arial" w:hAnsi="Arial" w:cs="Arial"/>
        </w:rPr>
        <w:t xml:space="preserve"> </w:t>
      </w:r>
      <w:r w:rsidR="00EB309F" w:rsidRPr="00456A18">
        <w:rPr>
          <w:rFonts w:ascii="Arial" w:hAnsi="Arial" w:cs="Arial"/>
        </w:rPr>
        <w:t>les</w:t>
      </w:r>
      <w:r w:rsidRPr="00456A18">
        <w:rPr>
          <w:rFonts w:ascii="Arial" w:hAnsi="Arial" w:cs="Arial"/>
        </w:rPr>
        <w:t xml:space="preserve"> investisseurs </w:t>
      </w:r>
      <w:r w:rsidR="00EB309F" w:rsidRPr="00456A18">
        <w:rPr>
          <w:rFonts w:ascii="Arial" w:hAnsi="Arial" w:cs="Arial"/>
        </w:rPr>
        <w:t>par rapport</w:t>
      </w:r>
      <w:r w:rsidRPr="00456A18">
        <w:rPr>
          <w:rFonts w:ascii="Arial" w:hAnsi="Arial" w:cs="Arial"/>
        </w:rPr>
        <w:t xml:space="preserve"> </w:t>
      </w:r>
      <w:r w:rsidR="00EB309F" w:rsidRPr="00456A18">
        <w:rPr>
          <w:rFonts w:ascii="Arial" w:hAnsi="Arial" w:cs="Arial"/>
        </w:rPr>
        <w:t>aux</w:t>
      </w:r>
      <w:r w:rsidRPr="00456A18">
        <w:rPr>
          <w:rFonts w:ascii="Arial" w:hAnsi="Arial" w:cs="Arial"/>
        </w:rPr>
        <w:t xml:space="preserve"> sommes engagées sur le territoire. Avoir un milieu sécuritaire est gage d’attractivité des personnes et des investissements pour la plus grande prospérité du Témiscouata.</w:t>
      </w:r>
    </w:p>
    <w:p w14:paraId="7A1D5321" w14:textId="4E30945F" w:rsidR="00FD0C27" w:rsidRPr="00456A18" w:rsidRDefault="00FD0C27" w:rsidP="0057486E">
      <w:pPr>
        <w:pStyle w:val="Titre3"/>
        <w:numPr>
          <w:ilvl w:val="0"/>
          <w:numId w:val="9"/>
        </w:numPr>
        <w:ind w:hanging="720"/>
        <w:rPr>
          <w:rFonts w:ascii="Arial" w:hAnsi="Arial" w:cs="Arial"/>
        </w:rPr>
      </w:pPr>
      <w:bookmarkStart w:id="5" w:name="_Toc66453616"/>
      <w:r w:rsidRPr="00456A18">
        <w:rPr>
          <w:rFonts w:ascii="Arial" w:hAnsi="Arial" w:cs="Arial"/>
        </w:rPr>
        <w:t>L’attractivité</w:t>
      </w:r>
      <w:bookmarkEnd w:id="5"/>
    </w:p>
    <w:p w14:paraId="520B15D1" w14:textId="5B8DF5DF" w:rsidR="00FD0C27" w:rsidRPr="00456A18" w:rsidRDefault="0034358B" w:rsidP="00D55B38">
      <w:pPr>
        <w:jc w:val="both"/>
        <w:rPr>
          <w:rFonts w:ascii="Arial" w:hAnsi="Arial" w:cs="Arial"/>
        </w:rPr>
      </w:pPr>
      <w:r w:rsidRPr="00456A18">
        <w:rPr>
          <w:rFonts w:ascii="Arial" w:hAnsi="Arial" w:cs="Arial"/>
        </w:rPr>
        <w:t xml:space="preserve">Le maintien de la démographie du Témiscouata est une condition essentielle à la vitalité du territoire. Nos municipalités ont besoin de gens pour occuper le territoire, nos entreprises ont besoin de </w:t>
      </w:r>
      <w:r w:rsidR="00D55B38" w:rsidRPr="00456A18">
        <w:rPr>
          <w:rFonts w:ascii="Arial" w:hAnsi="Arial" w:cs="Arial"/>
        </w:rPr>
        <w:t>main</w:t>
      </w:r>
      <w:r w:rsidR="00A17D6D">
        <w:rPr>
          <w:rFonts w:ascii="Arial" w:hAnsi="Arial" w:cs="Arial"/>
        </w:rPr>
        <w:t>-</w:t>
      </w:r>
      <w:r w:rsidR="00D55B38" w:rsidRPr="00456A18">
        <w:rPr>
          <w:rFonts w:ascii="Arial" w:hAnsi="Arial" w:cs="Arial"/>
        </w:rPr>
        <w:t xml:space="preserve">d’œuvre </w:t>
      </w:r>
      <w:r w:rsidRPr="00456A18">
        <w:rPr>
          <w:rFonts w:ascii="Arial" w:hAnsi="Arial" w:cs="Arial"/>
        </w:rPr>
        <w:t xml:space="preserve">pour </w:t>
      </w:r>
      <w:r w:rsidR="00806E12" w:rsidRPr="00456A18">
        <w:rPr>
          <w:rFonts w:ascii="Arial" w:hAnsi="Arial" w:cs="Arial"/>
        </w:rPr>
        <w:t>pourvoi</w:t>
      </w:r>
      <w:r w:rsidR="0079320C" w:rsidRPr="00456A18">
        <w:rPr>
          <w:rFonts w:ascii="Arial" w:hAnsi="Arial" w:cs="Arial"/>
        </w:rPr>
        <w:t>r</w:t>
      </w:r>
      <w:r w:rsidRPr="00456A18">
        <w:rPr>
          <w:rFonts w:ascii="Arial" w:hAnsi="Arial" w:cs="Arial"/>
        </w:rPr>
        <w:t xml:space="preserve"> les postes et nos organismes ont besoin de</w:t>
      </w:r>
      <w:r w:rsidR="00C67BA5" w:rsidRPr="00456A18">
        <w:rPr>
          <w:rFonts w:ascii="Arial" w:hAnsi="Arial" w:cs="Arial"/>
        </w:rPr>
        <w:t xml:space="preserve"> relève pour le maintien de leurs activités. Sans un plan ambitieux d’attractivité pour convaincre des gens de venir s’établir chez nous, la décroissance risque de se poursuivre avec le cortège d’effets négatifs que cela sous-tend. </w:t>
      </w:r>
    </w:p>
    <w:p w14:paraId="0E50E472" w14:textId="3ED1F2F9" w:rsidR="00FD0C27" w:rsidRPr="00456A18" w:rsidRDefault="00FD0C27" w:rsidP="0057486E">
      <w:pPr>
        <w:pStyle w:val="Titre3"/>
        <w:numPr>
          <w:ilvl w:val="0"/>
          <w:numId w:val="9"/>
        </w:numPr>
        <w:ind w:hanging="720"/>
        <w:rPr>
          <w:rFonts w:ascii="Arial" w:hAnsi="Arial" w:cs="Arial"/>
        </w:rPr>
      </w:pPr>
      <w:bookmarkStart w:id="6" w:name="_Toc66453617"/>
      <w:r w:rsidRPr="00456A18">
        <w:rPr>
          <w:rFonts w:ascii="Arial" w:hAnsi="Arial" w:cs="Arial"/>
        </w:rPr>
        <w:t>Les communications</w:t>
      </w:r>
      <w:r w:rsidR="00D17BCA" w:rsidRPr="00456A18">
        <w:rPr>
          <w:rFonts w:ascii="Arial" w:hAnsi="Arial" w:cs="Arial"/>
        </w:rPr>
        <w:t xml:space="preserve"> et le développement d’une image positive</w:t>
      </w:r>
      <w:bookmarkEnd w:id="6"/>
    </w:p>
    <w:p w14:paraId="5058A402" w14:textId="39C6FDB5" w:rsidR="00C67BA5" w:rsidRPr="00456A18" w:rsidRDefault="00C67BA5" w:rsidP="00D55B38">
      <w:pPr>
        <w:jc w:val="both"/>
        <w:rPr>
          <w:rFonts w:ascii="Arial" w:hAnsi="Arial" w:cs="Arial"/>
        </w:rPr>
      </w:pPr>
      <w:r w:rsidRPr="00456A18">
        <w:rPr>
          <w:rFonts w:ascii="Arial" w:hAnsi="Arial" w:cs="Arial"/>
        </w:rPr>
        <w:t xml:space="preserve">La MRC de Témiscouata investit depuis plus de douze ans en communications dans l’objectif de développer une image positive de son territoire. Ces efforts doivent se poursuivre et s’intensifier pour stimuler la fierté de nos concitoyens, pour se faire connaître à l’extérieur de nos frontières et pour faire </w:t>
      </w:r>
      <w:r w:rsidR="003A24F1" w:rsidRPr="00456A18">
        <w:rPr>
          <w:rFonts w:ascii="Arial" w:hAnsi="Arial" w:cs="Arial"/>
        </w:rPr>
        <w:t>mettre en valeur</w:t>
      </w:r>
      <w:r w:rsidRPr="00456A18">
        <w:rPr>
          <w:rFonts w:ascii="Arial" w:hAnsi="Arial" w:cs="Arial"/>
        </w:rPr>
        <w:t xml:space="preserve"> tout ce que nous avons à offrir.</w:t>
      </w:r>
    </w:p>
    <w:p w14:paraId="53F680D4" w14:textId="2B3DDE7C" w:rsidR="00C6324D" w:rsidRPr="00456A18" w:rsidRDefault="00CE38F7" w:rsidP="00D55B38">
      <w:pPr>
        <w:jc w:val="both"/>
        <w:rPr>
          <w:rFonts w:ascii="Arial" w:hAnsi="Arial" w:cs="Arial"/>
        </w:rPr>
      </w:pPr>
      <w:r w:rsidRPr="00456A18">
        <w:rPr>
          <w:rFonts w:ascii="Arial" w:hAnsi="Arial" w:cs="Arial"/>
        </w:rPr>
        <w:t>Il s’agit également de</w:t>
      </w:r>
      <w:r w:rsidR="00C6324D" w:rsidRPr="00456A18">
        <w:rPr>
          <w:rFonts w:ascii="Arial" w:hAnsi="Arial" w:cs="Arial"/>
        </w:rPr>
        <w:t xml:space="preserve"> stimuler</w:t>
      </w:r>
      <w:r w:rsidRPr="00456A18">
        <w:rPr>
          <w:rFonts w:ascii="Arial" w:hAnsi="Arial" w:cs="Arial"/>
        </w:rPr>
        <w:t xml:space="preserve"> et </w:t>
      </w:r>
      <w:r w:rsidR="000466CB" w:rsidRPr="00456A18">
        <w:rPr>
          <w:rFonts w:ascii="Arial" w:hAnsi="Arial" w:cs="Arial"/>
        </w:rPr>
        <w:t>de</w:t>
      </w:r>
      <w:r w:rsidR="0050564E" w:rsidRPr="00456A18">
        <w:rPr>
          <w:rFonts w:ascii="Arial" w:hAnsi="Arial" w:cs="Arial"/>
        </w:rPr>
        <w:t xml:space="preserve"> </w:t>
      </w:r>
      <w:r w:rsidR="000466CB" w:rsidRPr="00456A18">
        <w:rPr>
          <w:rFonts w:ascii="Arial" w:hAnsi="Arial" w:cs="Arial"/>
        </w:rPr>
        <w:t>soutenir</w:t>
      </w:r>
      <w:r w:rsidRPr="00456A18">
        <w:rPr>
          <w:rFonts w:ascii="Arial" w:hAnsi="Arial" w:cs="Arial"/>
        </w:rPr>
        <w:t xml:space="preserve"> un</w:t>
      </w:r>
      <w:r w:rsidR="00C6324D" w:rsidRPr="00456A18">
        <w:rPr>
          <w:rFonts w:ascii="Arial" w:hAnsi="Arial" w:cs="Arial"/>
        </w:rPr>
        <w:t xml:space="preserve"> </w:t>
      </w:r>
      <w:r w:rsidRPr="00456A18">
        <w:rPr>
          <w:rFonts w:ascii="Arial" w:hAnsi="Arial" w:cs="Arial"/>
        </w:rPr>
        <w:t xml:space="preserve">climat d’affaires </w:t>
      </w:r>
      <w:r w:rsidR="000466CB" w:rsidRPr="00456A18">
        <w:rPr>
          <w:rFonts w:ascii="Arial" w:hAnsi="Arial" w:cs="Arial"/>
        </w:rPr>
        <w:t xml:space="preserve">positif afin d’encourager </w:t>
      </w:r>
      <w:r w:rsidR="00C6324D" w:rsidRPr="00456A18">
        <w:rPr>
          <w:rFonts w:ascii="Arial" w:hAnsi="Arial" w:cs="Arial"/>
        </w:rPr>
        <w:t>les investissements et la création d’emploi</w:t>
      </w:r>
      <w:r w:rsidR="000466CB" w:rsidRPr="00456A18">
        <w:rPr>
          <w:rFonts w:ascii="Arial" w:hAnsi="Arial" w:cs="Arial"/>
        </w:rPr>
        <w:t xml:space="preserve">. </w:t>
      </w:r>
      <w:r w:rsidR="0057486E">
        <w:rPr>
          <w:rFonts w:ascii="Arial" w:hAnsi="Arial" w:cs="Arial"/>
        </w:rPr>
        <w:t>L</w:t>
      </w:r>
      <w:r w:rsidR="00837693" w:rsidRPr="00456A18">
        <w:rPr>
          <w:rFonts w:ascii="Arial" w:hAnsi="Arial" w:cs="Arial"/>
        </w:rPr>
        <w:t xml:space="preserve">es communications passent également par </w:t>
      </w:r>
      <w:r w:rsidR="00C6324D" w:rsidRPr="00456A18">
        <w:rPr>
          <w:rFonts w:ascii="Arial" w:hAnsi="Arial" w:cs="Arial"/>
        </w:rPr>
        <w:t>un travail d’animation du milieu</w:t>
      </w:r>
      <w:r w:rsidR="00837693" w:rsidRPr="00456A18">
        <w:rPr>
          <w:rFonts w:ascii="Arial" w:hAnsi="Arial" w:cs="Arial"/>
        </w:rPr>
        <w:t xml:space="preserve">, </w:t>
      </w:r>
      <w:r w:rsidR="00C6324D" w:rsidRPr="00456A18">
        <w:rPr>
          <w:rFonts w:ascii="Arial" w:hAnsi="Arial" w:cs="Arial"/>
        </w:rPr>
        <w:t>par la concertation des intervenants,</w:t>
      </w:r>
      <w:r w:rsidR="005C41D4" w:rsidRPr="00456A18">
        <w:rPr>
          <w:rFonts w:ascii="Arial" w:hAnsi="Arial" w:cs="Arial"/>
        </w:rPr>
        <w:t xml:space="preserve"> par</w:t>
      </w:r>
      <w:r w:rsidR="00C6324D" w:rsidRPr="00456A18">
        <w:rPr>
          <w:rFonts w:ascii="Arial" w:hAnsi="Arial" w:cs="Arial"/>
        </w:rPr>
        <w:t xml:space="preserve"> un plan de communications efficace et la mise en valeur de nos réussites. </w:t>
      </w:r>
    </w:p>
    <w:p w14:paraId="37877832" w14:textId="16E94B8F" w:rsidR="00FD0C27" w:rsidRPr="00456A18" w:rsidRDefault="00FD0C27" w:rsidP="0057486E">
      <w:pPr>
        <w:pStyle w:val="Titre3"/>
        <w:numPr>
          <w:ilvl w:val="0"/>
          <w:numId w:val="9"/>
        </w:numPr>
        <w:ind w:hanging="720"/>
        <w:rPr>
          <w:rFonts w:ascii="Arial" w:hAnsi="Arial" w:cs="Arial"/>
        </w:rPr>
      </w:pPr>
      <w:bookmarkStart w:id="7" w:name="_Toc66453618"/>
      <w:r w:rsidRPr="00456A18">
        <w:rPr>
          <w:rFonts w:ascii="Arial" w:hAnsi="Arial" w:cs="Arial"/>
        </w:rPr>
        <w:t>L’environnement</w:t>
      </w:r>
      <w:bookmarkEnd w:id="7"/>
    </w:p>
    <w:p w14:paraId="631AE92F" w14:textId="30EFB574" w:rsidR="00FD0C27" w:rsidRPr="00456A18" w:rsidRDefault="00FD15B2" w:rsidP="00D55B38">
      <w:pPr>
        <w:jc w:val="both"/>
        <w:rPr>
          <w:rFonts w:ascii="Arial" w:hAnsi="Arial" w:cs="Arial"/>
        </w:rPr>
      </w:pPr>
      <w:r w:rsidRPr="00456A18">
        <w:rPr>
          <w:rFonts w:ascii="Arial" w:hAnsi="Arial" w:cs="Arial"/>
        </w:rPr>
        <w:t xml:space="preserve">La MRC de Témiscouata a la chance d’avoir une nature de qualité, accessible par tous et d’une grande pureté. Les paysages naturels et humanisés sont d’une grande beauté et ils contribuent à notre attractivité touristique. Dans cette optique, le développement doit se faire d’une manière sensée et respectueuse de cette richesse. </w:t>
      </w:r>
      <w:r w:rsidR="0057486E">
        <w:rPr>
          <w:rFonts w:ascii="Arial" w:hAnsi="Arial" w:cs="Arial"/>
        </w:rPr>
        <w:t>Ainsi</w:t>
      </w:r>
      <w:r w:rsidRPr="00456A18">
        <w:rPr>
          <w:rFonts w:ascii="Arial" w:hAnsi="Arial" w:cs="Arial"/>
        </w:rPr>
        <w:t>, le Conseil de la MRC fait sien l’objectif d’un développement qui répond aux générations du présent sans compromettre la capacité des générations futures à répondre aux leurs.</w:t>
      </w:r>
    </w:p>
    <w:p w14:paraId="1A7093CE" w14:textId="4229F7F1" w:rsidR="00FD0C27" w:rsidRPr="00456A18" w:rsidRDefault="00FD0C27" w:rsidP="0057486E">
      <w:pPr>
        <w:pStyle w:val="Titre3"/>
        <w:numPr>
          <w:ilvl w:val="0"/>
          <w:numId w:val="9"/>
        </w:numPr>
        <w:ind w:hanging="720"/>
        <w:rPr>
          <w:rFonts w:ascii="Arial" w:hAnsi="Arial" w:cs="Arial"/>
        </w:rPr>
      </w:pPr>
      <w:bookmarkStart w:id="8" w:name="_Toc66453619"/>
      <w:r w:rsidRPr="00456A18">
        <w:rPr>
          <w:rFonts w:ascii="Arial" w:hAnsi="Arial" w:cs="Arial"/>
        </w:rPr>
        <w:t>Des investissements stratégiques pour la compétitivité</w:t>
      </w:r>
      <w:bookmarkEnd w:id="8"/>
    </w:p>
    <w:p w14:paraId="6BE3169B" w14:textId="77777777" w:rsidR="00FD0C27" w:rsidRPr="00456A18" w:rsidRDefault="00FD15B2" w:rsidP="00D55B38">
      <w:pPr>
        <w:jc w:val="both"/>
        <w:rPr>
          <w:rFonts w:ascii="Arial" w:hAnsi="Arial" w:cs="Arial"/>
        </w:rPr>
      </w:pPr>
      <w:r w:rsidRPr="00456A18">
        <w:rPr>
          <w:rFonts w:ascii="Arial" w:hAnsi="Arial" w:cs="Arial"/>
        </w:rPr>
        <w:t xml:space="preserve">L’économie actuelle fait face à de grands défis. La mondialisation des marchés force la modernisation des entreprises pour optimiser leurs pratiques et réduire les coûts. À cela s’ajoute le contexte planétaire de pandémie qui </w:t>
      </w:r>
      <w:r w:rsidR="00D55B38" w:rsidRPr="00456A18">
        <w:rPr>
          <w:rFonts w:ascii="Arial" w:hAnsi="Arial" w:cs="Arial"/>
        </w:rPr>
        <w:t>engendre</w:t>
      </w:r>
      <w:r w:rsidRPr="00456A18">
        <w:rPr>
          <w:rFonts w:ascii="Arial" w:hAnsi="Arial" w:cs="Arial"/>
        </w:rPr>
        <w:t xml:space="preserve"> des contraintes jusqu’alors jamais vues. La MRC, en tant que </w:t>
      </w:r>
      <w:r w:rsidR="009336E2" w:rsidRPr="00456A18">
        <w:rPr>
          <w:rFonts w:ascii="Arial" w:hAnsi="Arial" w:cs="Arial"/>
        </w:rPr>
        <w:t xml:space="preserve">corps public qui finance le développement des entreprises sur son territoire, a un rôle important à jouer. Il est essentiel que les </w:t>
      </w:r>
      <w:r w:rsidR="009336E2" w:rsidRPr="00456A18">
        <w:rPr>
          <w:rFonts w:ascii="Arial" w:hAnsi="Arial" w:cs="Arial"/>
        </w:rPr>
        <w:lastRenderedPageBreak/>
        <w:t xml:space="preserve">investissements régionaux encouragent la mise à niveau des équipements de production, le développement de stratégies d’amélioration continue et les gains de productivité. Il en va de notre capacité à maintenir </w:t>
      </w:r>
      <w:r w:rsidR="005E0FA0" w:rsidRPr="00456A18">
        <w:rPr>
          <w:rFonts w:ascii="Arial" w:hAnsi="Arial" w:cs="Arial"/>
        </w:rPr>
        <w:t xml:space="preserve">et à développer </w:t>
      </w:r>
      <w:r w:rsidR="009336E2" w:rsidRPr="00456A18">
        <w:rPr>
          <w:rFonts w:ascii="Arial" w:hAnsi="Arial" w:cs="Arial"/>
        </w:rPr>
        <w:t xml:space="preserve">notre position sur les marchés pour </w:t>
      </w:r>
      <w:r w:rsidR="00D64489" w:rsidRPr="00456A18">
        <w:rPr>
          <w:rFonts w:ascii="Arial" w:hAnsi="Arial" w:cs="Arial"/>
        </w:rPr>
        <w:t xml:space="preserve">ainsi </w:t>
      </w:r>
      <w:r w:rsidR="009336E2" w:rsidRPr="00456A18">
        <w:rPr>
          <w:rFonts w:ascii="Arial" w:hAnsi="Arial" w:cs="Arial"/>
        </w:rPr>
        <w:t xml:space="preserve">créer </w:t>
      </w:r>
      <w:r w:rsidR="00D64489" w:rsidRPr="00456A18">
        <w:rPr>
          <w:rFonts w:ascii="Arial" w:hAnsi="Arial" w:cs="Arial"/>
        </w:rPr>
        <w:t>davantage de richesse pour notre milieu.</w:t>
      </w:r>
    </w:p>
    <w:p w14:paraId="4ACF1120" w14:textId="2A63CAA7" w:rsidR="00AA6EC7" w:rsidRPr="0057486E" w:rsidRDefault="00AA6EC7" w:rsidP="0057486E">
      <w:pPr>
        <w:pStyle w:val="Titre3"/>
        <w:numPr>
          <w:ilvl w:val="0"/>
          <w:numId w:val="9"/>
        </w:numPr>
        <w:ind w:hanging="720"/>
        <w:rPr>
          <w:rFonts w:ascii="Arial" w:hAnsi="Arial" w:cs="Arial"/>
          <w:i/>
          <w:iCs/>
        </w:rPr>
      </w:pPr>
      <w:bookmarkStart w:id="9" w:name="_Toc66453620"/>
      <w:r w:rsidRPr="0057486E">
        <w:rPr>
          <w:rFonts w:ascii="Arial" w:hAnsi="Arial" w:cs="Arial"/>
        </w:rPr>
        <w:t>La forêt et la transformation du bois</w:t>
      </w:r>
      <w:bookmarkEnd w:id="9"/>
    </w:p>
    <w:p w14:paraId="04D0C7D4" w14:textId="1E75D0A1" w:rsidR="00AA6EC7" w:rsidRPr="00456A18" w:rsidRDefault="00AA6EC7" w:rsidP="00D55B38">
      <w:pPr>
        <w:jc w:val="both"/>
        <w:rPr>
          <w:rFonts w:ascii="Arial" w:hAnsi="Arial" w:cs="Arial"/>
        </w:rPr>
      </w:pPr>
      <w:r w:rsidRPr="00456A18">
        <w:rPr>
          <w:rFonts w:ascii="Arial" w:hAnsi="Arial" w:cs="Arial"/>
        </w:rPr>
        <w:t>Le Témiscouata a toujours été et il demeure une région forestière. Les grands massifs forestiers sont omniprésents et ils sont une source majeure de prospérité. L’exploitation du bois et sa transformation</w:t>
      </w:r>
      <w:r w:rsidR="001C66EE" w:rsidRPr="00456A18">
        <w:rPr>
          <w:rFonts w:ascii="Arial" w:hAnsi="Arial" w:cs="Arial"/>
        </w:rPr>
        <w:t xml:space="preserve">, notamment la deuxième et troisième transformation, </w:t>
      </w:r>
      <w:r w:rsidRPr="00456A18">
        <w:rPr>
          <w:rFonts w:ascii="Arial" w:hAnsi="Arial" w:cs="Arial"/>
        </w:rPr>
        <w:t>donnent de bons emplois et génèrent une riche activité économique.</w:t>
      </w:r>
      <w:r w:rsidR="00E10044" w:rsidRPr="00456A18">
        <w:rPr>
          <w:rFonts w:ascii="Arial" w:hAnsi="Arial" w:cs="Arial"/>
        </w:rPr>
        <w:t xml:space="preserve"> L’utilisation de la forêt à d’autres fins que la production de bois de sciage et de pâte est également une avenue à privilégier, que ce soit l’acériculture, les produits forestiers non ligneux et autres. </w:t>
      </w:r>
    </w:p>
    <w:p w14:paraId="132156BD" w14:textId="111A981B" w:rsidR="0040494C" w:rsidRPr="00456A18" w:rsidRDefault="0040494C" w:rsidP="0057486E">
      <w:pPr>
        <w:pStyle w:val="Titre3"/>
        <w:numPr>
          <w:ilvl w:val="0"/>
          <w:numId w:val="9"/>
        </w:numPr>
        <w:ind w:hanging="720"/>
        <w:rPr>
          <w:rFonts w:ascii="Arial" w:hAnsi="Arial" w:cs="Arial"/>
        </w:rPr>
      </w:pPr>
      <w:bookmarkStart w:id="10" w:name="_Toc66453621"/>
      <w:r w:rsidRPr="00456A18">
        <w:rPr>
          <w:rFonts w:ascii="Arial" w:hAnsi="Arial" w:cs="Arial"/>
        </w:rPr>
        <w:t xml:space="preserve">Une agriculture nourricière et </w:t>
      </w:r>
      <w:r w:rsidR="00290761" w:rsidRPr="00456A18">
        <w:rPr>
          <w:rFonts w:ascii="Arial" w:hAnsi="Arial" w:cs="Arial"/>
        </w:rPr>
        <w:t>l’agroalimentaire</w:t>
      </w:r>
      <w:bookmarkEnd w:id="10"/>
      <w:r w:rsidR="00290761" w:rsidRPr="00456A18">
        <w:rPr>
          <w:rFonts w:ascii="Arial" w:hAnsi="Arial" w:cs="Arial"/>
        </w:rPr>
        <w:t xml:space="preserve"> </w:t>
      </w:r>
    </w:p>
    <w:p w14:paraId="588EC344" w14:textId="720BFFF3" w:rsidR="00AA6EC7" w:rsidRPr="00456A18" w:rsidRDefault="00E60F66" w:rsidP="00265A62">
      <w:pPr>
        <w:jc w:val="both"/>
        <w:rPr>
          <w:rFonts w:ascii="Arial" w:hAnsi="Arial" w:cs="Arial"/>
        </w:rPr>
      </w:pPr>
      <w:r w:rsidRPr="00456A18">
        <w:rPr>
          <w:rFonts w:ascii="Arial" w:hAnsi="Arial" w:cs="Arial"/>
        </w:rPr>
        <w:t xml:space="preserve">Notre région </w:t>
      </w:r>
      <w:r w:rsidR="00EB7EB2" w:rsidRPr="00456A18">
        <w:rPr>
          <w:rFonts w:ascii="Arial" w:hAnsi="Arial" w:cs="Arial"/>
        </w:rPr>
        <w:t xml:space="preserve">bénéficie d’une proximité intéressante avec les marchés en plus d’un prix de la terre relativement faible. </w:t>
      </w:r>
      <w:r w:rsidR="006E0037" w:rsidRPr="00456A18">
        <w:rPr>
          <w:rFonts w:ascii="Arial" w:hAnsi="Arial" w:cs="Arial"/>
        </w:rPr>
        <w:t>Il est possible de produire au Témiscouata une grande variété de produits</w:t>
      </w:r>
      <w:r w:rsidR="008433CF" w:rsidRPr="00456A18">
        <w:rPr>
          <w:rFonts w:ascii="Arial" w:hAnsi="Arial" w:cs="Arial"/>
        </w:rPr>
        <w:t>, notamment dans la filière biologique, et ce à un coût avantageux.</w:t>
      </w:r>
      <w:r w:rsidR="00742B46" w:rsidRPr="00456A18">
        <w:rPr>
          <w:rFonts w:ascii="Arial" w:hAnsi="Arial" w:cs="Arial"/>
        </w:rPr>
        <w:t xml:space="preserve"> Nous avons </w:t>
      </w:r>
      <w:r w:rsidR="005F1ADE" w:rsidRPr="00456A18">
        <w:rPr>
          <w:rFonts w:ascii="Arial" w:hAnsi="Arial" w:cs="Arial"/>
        </w:rPr>
        <w:t xml:space="preserve">également </w:t>
      </w:r>
      <w:r w:rsidR="00020218" w:rsidRPr="00456A18">
        <w:rPr>
          <w:rFonts w:ascii="Arial" w:hAnsi="Arial" w:cs="Arial"/>
        </w:rPr>
        <w:t xml:space="preserve">une filière des produits du terroir qui facilite </w:t>
      </w:r>
      <w:r w:rsidR="000711A9" w:rsidRPr="00456A18">
        <w:rPr>
          <w:rFonts w:ascii="Arial" w:hAnsi="Arial" w:cs="Arial"/>
        </w:rPr>
        <w:t>la deuxième et troisième transformation des produits agricoles. Ce</w:t>
      </w:r>
      <w:r w:rsidR="008433CF" w:rsidRPr="00456A18">
        <w:rPr>
          <w:rFonts w:ascii="Arial" w:hAnsi="Arial" w:cs="Arial"/>
        </w:rPr>
        <w:t xml:space="preserve"> </w:t>
      </w:r>
      <w:r w:rsidR="000711A9" w:rsidRPr="00456A18">
        <w:rPr>
          <w:rFonts w:ascii="Arial" w:hAnsi="Arial" w:cs="Arial"/>
        </w:rPr>
        <w:t>sont des</w:t>
      </w:r>
      <w:r w:rsidR="008433CF" w:rsidRPr="00456A18">
        <w:rPr>
          <w:rFonts w:ascii="Arial" w:hAnsi="Arial" w:cs="Arial"/>
        </w:rPr>
        <w:t xml:space="preserve"> </w:t>
      </w:r>
      <w:r w:rsidR="00F5352B" w:rsidRPr="00456A18">
        <w:rPr>
          <w:rFonts w:ascii="Arial" w:hAnsi="Arial" w:cs="Arial"/>
        </w:rPr>
        <w:t>atout</w:t>
      </w:r>
      <w:r w:rsidR="000711A9" w:rsidRPr="00456A18">
        <w:rPr>
          <w:rFonts w:ascii="Arial" w:hAnsi="Arial" w:cs="Arial"/>
        </w:rPr>
        <w:t>s</w:t>
      </w:r>
      <w:r w:rsidR="008433CF" w:rsidRPr="00456A18">
        <w:rPr>
          <w:rFonts w:ascii="Arial" w:hAnsi="Arial" w:cs="Arial"/>
        </w:rPr>
        <w:t xml:space="preserve"> très intéressant</w:t>
      </w:r>
      <w:r w:rsidR="000711A9" w:rsidRPr="00456A18">
        <w:rPr>
          <w:rFonts w:ascii="Arial" w:hAnsi="Arial" w:cs="Arial"/>
        </w:rPr>
        <w:t>s</w:t>
      </w:r>
      <w:r w:rsidR="008433CF" w:rsidRPr="00456A18">
        <w:rPr>
          <w:rFonts w:ascii="Arial" w:hAnsi="Arial" w:cs="Arial"/>
        </w:rPr>
        <w:t xml:space="preserve"> pour inciter les jeunes </w:t>
      </w:r>
      <w:r w:rsidR="00A975F3" w:rsidRPr="00456A18">
        <w:rPr>
          <w:rFonts w:ascii="Arial" w:hAnsi="Arial" w:cs="Arial"/>
        </w:rPr>
        <w:t xml:space="preserve">à se lancer en agriculture </w:t>
      </w:r>
      <w:r w:rsidR="000711A9" w:rsidRPr="00456A18">
        <w:rPr>
          <w:rFonts w:ascii="Arial" w:hAnsi="Arial" w:cs="Arial"/>
        </w:rPr>
        <w:t>en devenant</w:t>
      </w:r>
      <w:r w:rsidR="00164221" w:rsidRPr="00456A18">
        <w:rPr>
          <w:rFonts w:ascii="Arial" w:hAnsi="Arial" w:cs="Arial"/>
        </w:rPr>
        <w:t xml:space="preserve"> </w:t>
      </w:r>
      <w:r w:rsidR="00AB734D" w:rsidRPr="00456A18">
        <w:rPr>
          <w:rFonts w:ascii="Arial" w:hAnsi="Arial" w:cs="Arial"/>
        </w:rPr>
        <w:t xml:space="preserve">éventuellement </w:t>
      </w:r>
      <w:r w:rsidR="000711A9" w:rsidRPr="00456A18">
        <w:rPr>
          <w:rFonts w:ascii="Arial" w:hAnsi="Arial" w:cs="Arial"/>
        </w:rPr>
        <w:t>propriétaire</w:t>
      </w:r>
      <w:r w:rsidR="00AB734D" w:rsidRPr="00456A18">
        <w:rPr>
          <w:rFonts w:ascii="Arial" w:hAnsi="Arial" w:cs="Arial"/>
        </w:rPr>
        <w:t>s</w:t>
      </w:r>
      <w:r w:rsidR="000711A9" w:rsidRPr="00456A18">
        <w:rPr>
          <w:rFonts w:ascii="Arial" w:hAnsi="Arial" w:cs="Arial"/>
        </w:rPr>
        <w:t xml:space="preserve"> et c’est aussi </w:t>
      </w:r>
      <w:r w:rsidR="003F71A0" w:rsidRPr="00456A18">
        <w:rPr>
          <w:rFonts w:ascii="Arial" w:hAnsi="Arial" w:cs="Arial"/>
        </w:rPr>
        <w:t>un moteur d’autonomie alimentaire pour la région.</w:t>
      </w:r>
    </w:p>
    <w:p w14:paraId="77E5EAD5" w14:textId="18D90639" w:rsidR="00AA6EC7" w:rsidRPr="00456A18" w:rsidRDefault="00AA6EC7" w:rsidP="0057486E">
      <w:pPr>
        <w:pStyle w:val="Titre3"/>
        <w:numPr>
          <w:ilvl w:val="0"/>
          <w:numId w:val="9"/>
        </w:numPr>
        <w:ind w:hanging="720"/>
        <w:rPr>
          <w:rFonts w:ascii="Arial" w:hAnsi="Arial" w:cs="Arial"/>
        </w:rPr>
      </w:pPr>
      <w:bookmarkStart w:id="11" w:name="_Toc66453622"/>
      <w:r w:rsidRPr="00456A18">
        <w:rPr>
          <w:rFonts w:ascii="Arial" w:hAnsi="Arial" w:cs="Arial"/>
        </w:rPr>
        <w:t>Le tourisme</w:t>
      </w:r>
      <w:bookmarkEnd w:id="11"/>
    </w:p>
    <w:p w14:paraId="4A6ED322" w14:textId="6CE6A911" w:rsidR="00AA6EC7" w:rsidRPr="00456A18" w:rsidRDefault="00AA6EC7" w:rsidP="00D55B38">
      <w:pPr>
        <w:jc w:val="both"/>
        <w:rPr>
          <w:rFonts w:ascii="Arial" w:hAnsi="Arial" w:cs="Arial"/>
        </w:rPr>
      </w:pPr>
      <w:r w:rsidRPr="00456A18">
        <w:rPr>
          <w:rFonts w:ascii="Arial" w:hAnsi="Arial" w:cs="Arial"/>
        </w:rPr>
        <w:t>La MRC de Témiscouata a un positionnement stratégique exceptionnel sur la route des Maritimes qui lui donne accès à une clientèle touristique très intéressante. Si on ajoute à cela des atouts majeurs que sont les lacs de grande superficie, une nature accessible et des infrastructures majeures (parc national, sentier Petit-</w:t>
      </w:r>
      <w:proofErr w:type="spellStart"/>
      <w:r w:rsidRPr="00456A18">
        <w:rPr>
          <w:rFonts w:ascii="Arial" w:hAnsi="Arial" w:cs="Arial"/>
        </w:rPr>
        <w:t>Témis</w:t>
      </w:r>
      <w:proofErr w:type="spellEnd"/>
      <w:r w:rsidRPr="00456A18">
        <w:rPr>
          <w:rFonts w:ascii="Arial" w:hAnsi="Arial" w:cs="Arial"/>
        </w:rPr>
        <w:t>, plage</w:t>
      </w:r>
      <w:r w:rsidR="00EB4590" w:rsidRPr="00456A18">
        <w:rPr>
          <w:rFonts w:ascii="Arial" w:hAnsi="Arial" w:cs="Arial"/>
        </w:rPr>
        <w:t xml:space="preserve"> municipale</w:t>
      </w:r>
      <w:r w:rsidRPr="00456A18">
        <w:rPr>
          <w:rFonts w:ascii="Arial" w:hAnsi="Arial" w:cs="Arial"/>
        </w:rPr>
        <w:t xml:space="preserve"> de Pohénégamook, </w:t>
      </w:r>
      <w:proofErr w:type="spellStart"/>
      <w:r w:rsidRPr="00456A18">
        <w:rPr>
          <w:rFonts w:ascii="Arial" w:hAnsi="Arial" w:cs="Arial"/>
        </w:rPr>
        <w:t>etc</w:t>
      </w:r>
      <w:proofErr w:type="spellEnd"/>
      <w:r w:rsidRPr="00456A18">
        <w:rPr>
          <w:rFonts w:ascii="Arial" w:hAnsi="Arial" w:cs="Arial"/>
        </w:rPr>
        <w:t>)</w:t>
      </w:r>
      <w:r w:rsidR="0034358B" w:rsidRPr="00456A18">
        <w:rPr>
          <w:rFonts w:ascii="Arial" w:hAnsi="Arial" w:cs="Arial"/>
        </w:rPr>
        <w:t xml:space="preserve">, on comprend que le tourisme est un </w:t>
      </w:r>
      <w:r w:rsidR="00E10044" w:rsidRPr="00456A18">
        <w:rPr>
          <w:rFonts w:ascii="Arial" w:hAnsi="Arial" w:cs="Arial"/>
        </w:rPr>
        <w:t>axe de développement</w:t>
      </w:r>
      <w:r w:rsidR="0034358B" w:rsidRPr="00456A18">
        <w:rPr>
          <w:rFonts w:ascii="Arial" w:hAnsi="Arial" w:cs="Arial"/>
        </w:rPr>
        <w:t xml:space="preserve"> tout indiqué.</w:t>
      </w:r>
    </w:p>
    <w:p w14:paraId="49C69D9B" w14:textId="231A4603" w:rsidR="007B0281" w:rsidRPr="00456A18" w:rsidRDefault="007B0281" w:rsidP="0057486E">
      <w:pPr>
        <w:pStyle w:val="Titre3"/>
        <w:numPr>
          <w:ilvl w:val="0"/>
          <w:numId w:val="9"/>
        </w:numPr>
        <w:ind w:hanging="720"/>
        <w:rPr>
          <w:rFonts w:ascii="Arial" w:hAnsi="Arial" w:cs="Arial"/>
        </w:rPr>
      </w:pPr>
      <w:bookmarkStart w:id="12" w:name="_Toc66453623"/>
      <w:r w:rsidRPr="00456A18">
        <w:rPr>
          <w:rFonts w:ascii="Arial" w:hAnsi="Arial" w:cs="Arial"/>
        </w:rPr>
        <w:t>L</w:t>
      </w:r>
      <w:r w:rsidR="0050564E" w:rsidRPr="00456A18">
        <w:rPr>
          <w:rFonts w:ascii="Arial" w:hAnsi="Arial" w:cs="Arial"/>
        </w:rPr>
        <w:t>e</w:t>
      </w:r>
      <w:r w:rsidRPr="00456A18">
        <w:rPr>
          <w:rFonts w:ascii="Arial" w:hAnsi="Arial" w:cs="Arial"/>
        </w:rPr>
        <w:t xml:space="preserve"> </w:t>
      </w:r>
      <w:r w:rsidR="00AF3B3C" w:rsidRPr="00456A18">
        <w:rPr>
          <w:rFonts w:ascii="Arial" w:hAnsi="Arial" w:cs="Arial"/>
        </w:rPr>
        <w:t xml:space="preserve">soutien prioritaire aux municipalités </w:t>
      </w:r>
      <w:r w:rsidRPr="00456A18">
        <w:rPr>
          <w:rFonts w:ascii="Arial" w:hAnsi="Arial" w:cs="Arial"/>
        </w:rPr>
        <w:t xml:space="preserve">les plus </w:t>
      </w:r>
      <w:r w:rsidR="00B0519F" w:rsidRPr="00456A18">
        <w:rPr>
          <w:rFonts w:ascii="Arial" w:hAnsi="Arial" w:cs="Arial"/>
        </w:rPr>
        <w:t>dévitalisées</w:t>
      </w:r>
      <w:bookmarkEnd w:id="12"/>
    </w:p>
    <w:p w14:paraId="6399228A" w14:textId="3C575B6D" w:rsidR="007B0281" w:rsidRPr="00456A18" w:rsidRDefault="00B55254" w:rsidP="009B2CDA">
      <w:pPr>
        <w:jc w:val="both"/>
        <w:rPr>
          <w:rFonts w:ascii="Arial" w:hAnsi="Arial" w:cs="Arial"/>
        </w:rPr>
      </w:pPr>
      <w:r w:rsidRPr="00456A18">
        <w:rPr>
          <w:rFonts w:ascii="Arial" w:hAnsi="Arial" w:cs="Arial"/>
        </w:rPr>
        <w:t xml:space="preserve">La MRC de Témiscouata a un souci particulier d’assurer à chaque municipalité </w:t>
      </w:r>
      <w:r w:rsidR="007D5076" w:rsidRPr="00456A18">
        <w:rPr>
          <w:rFonts w:ascii="Arial" w:hAnsi="Arial" w:cs="Arial"/>
        </w:rPr>
        <w:t xml:space="preserve">les moyens de se développer et de mettre en place les conditions requises pour </w:t>
      </w:r>
      <w:r w:rsidR="00F8115B" w:rsidRPr="00456A18">
        <w:rPr>
          <w:rFonts w:ascii="Arial" w:hAnsi="Arial" w:cs="Arial"/>
        </w:rPr>
        <w:t>qu</w:t>
      </w:r>
      <w:r w:rsidR="007D5076" w:rsidRPr="00456A18">
        <w:rPr>
          <w:rFonts w:ascii="Arial" w:hAnsi="Arial" w:cs="Arial"/>
        </w:rPr>
        <w:t>e cela p</w:t>
      </w:r>
      <w:r w:rsidR="00FD2D73" w:rsidRPr="00456A18">
        <w:rPr>
          <w:rFonts w:ascii="Arial" w:hAnsi="Arial" w:cs="Arial"/>
        </w:rPr>
        <w:t xml:space="preserve">uisse se faire. C’est également la volonté du gouvernement à travers le </w:t>
      </w:r>
      <w:r w:rsidR="00B0519F" w:rsidRPr="00456A18">
        <w:rPr>
          <w:rFonts w:ascii="Arial" w:hAnsi="Arial" w:cs="Arial"/>
        </w:rPr>
        <w:t>volet IV du FRR</w:t>
      </w:r>
      <w:r w:rsidRPr="00456A18">
        <w:rPr>
          <w:rFonts w:ascii="Arial" w:hAnsi="Arial" w:cs="Arial"/>
        </w:rPr>
        <w:t xml:space="preserve"> </w:t>
      </w:r>
      <w:r w:rsidR="00FD2D73" w:rsidRPr="00456A18">
        <w:rPr>
          <w:rFonts w:ascii="Arial" w:hAnsi="Arial" w:cs="Arial"/>
        </w:rPr>
        <w:t xml:space="preserve">que de mettre en place des mesures spécifiques </w:t>
      </w:r>
      <w:r w:rsidR="00F8115B" w:rsidRPr="00456A18">
        <w:rPr>
          <w:rFonts w:ascii="Arial" w:hAnsi="Arial" w:cs="Arial"/>
        </w:rPr>
        <w:t xml:space="preserve">destinées aux territoires plus dévitalisées, soit les municipalités Q5. </w:t>
      </w:r>
    </w:p>
    <w:p w14:paraId="7E5B3CC9" w14:textId="2D297F9E" w:rsidR="00472843" w:rsidRPr="00456A18" w:rsidRDefault="0057486E" w:rsidP="009B2CDA">
      <w:pPr>
        <w:jc w:val="both"/>
        <w:rPr>
          <w:rFonts w:ascii="Arial" w:hAnsi="Arial" w:cs="Arial"/>
        </w:rPr>
      </w:pPr>
      <w:r>
        <w:rPr>
          <w:rFonts w:ascii="Arial" w:hAnsi="Arial" w:cs="Arial"/>
        </w:rPr>
        <w:t>Conséquemment</w:t>
      </w:r>
      <w:r w:rsidR="00472843" w:rsidRPr="00456A18">
        <w:rPr>
          <w:rFonts w:ascii="Arial" w:hAnsi="Arial" w:cs="Arial"/>
        </w:rPr>
        <w:t xml:space="preserve">, un axe du cadre </w:t>
      </w:r>
      <w:r w:rsidR="009D7666" w:rsidRPr="00456A18">
        <w:rPr>
          <w:rFonts w:ascii="Arial" w:hAnsi="Arial" w:cs="Arial"/>
        </w:rPr>
        <w:t xml:space="preserve">de vitalisation est </w:t>
      </w:r>
      <w:r w:rsidR="00A97155" w:rsidRPr="00456A18">
        <w:rPr>
          <w:rFonts w:ascii="Arial" w:hAnsi="Arial" w:cs="Arial"/>
        </w:rPr>
        <w:t>expressément</w:t>
      </w:r>
      <w:r w:rsidR="009D7666" w:rsidRPr="00456A18">
        <w:rPr>
          <w:rFonts w:ascii="Arial" w:hAnsi="Arial" w:cs="Arial"/>
        </w:rPr>
        <w:t xml:space="preserve"> prévu pour les municipalités Q5, afin d’y encourager des projets </w:t>
      </w:r>
      <w:r w:rsidR="005E2EBF" w:rsidRPr="00456A18">
        <w:rPr>
          <w:rFonts w:ascii="Arial" w:hAnsi="Arial" w:cs="Arial"/>
        </w:rPr>
        <w:t xml:space="preserve">propices à l’amélioration du cadre de vie, </w:t>
      </w:r>
      <w:r w:rsidR="00720594" w:rsidRPr="00456A18">
        <w:rPr>
          <w:rFonts w:ascii="Arial" w:hAnsi="Arial" w:cs="Arial"/>
        </w:rPr>
        <w:t xml:space="preserve">des services disponibles et des équipements </w:t>
      </w:r>
      <w:r w:rsidR="00265A62" w:rsidRPr="00456A18">
        <w:rPr>
          <w:rFonts w:ascii="Arial" w:hAnsi="Arial" w:cs="Arial"/>
        </w:rPr>
        <w:t xml:space="preserve">destinés à la population. </w:t>
      </w:r>
      <w:r w:rsidR="00502FA3" w:rsidRPr="00456A18">
        <w:rPr>
          <w:rFonts w:ascii="Arial" w:hAnsi="Arial" w:cs="Arial"/>
        </w:rPr>
        <w:t>Des projets de nature à assurer une relève aux entreprise</w:t>
      </w:r>
      <w:r w:rsidR="00B5032A" w:rsidRPr="00456A18">
        <w:rPr>
          <w:rFonts w:ascii="Arial" w:hAnsi="Arial" w:cs="Arial"/>
        </w:rPr>
        <w:t>s</w:t>
      </w:r>
      <w:r w:rsidR="00502FA3" w:rsidRPr="00456A18">
        <w:rPr>
          <w:rFonts w:ascii="Arial" w:hAnsi="Arial" w:cs="Arial"/>
        </w:rPr>
        <w:t xml:space="preserve"> à l’implanta</w:t>
      </w:r>
      <w:r w:rsidR="001A22FB" w:rsidRPr="00456A18">
        <w:rPr>
          <w:rFonts w:ascii="Arial" w:hAnsi="Arial" w:cs="Arial"/>
        </w:rPr>
        <w:t>tion de nouvelles PME</w:t>
      </w:r>
      <w:r w:rsidR="00480965" w:rsidRPr="00456A18">
        <w:rPr>
          <w:rFonts w:ascii="Arial" w:hAnsi="Arial" w:cs="Arial"/>
        </w:rPr>
        <w:t xml:space="preserve"> dans</w:t>
      </w:r>
      <w:r w:rsidR="001A22FB" w:rsidRPr="00456A18">
        <w:rPr>
          <w:rFonts w:ascii="Arial" w:hAnsi="Arial" w:cs="Arial"/>
        </w:rPr>
        <w:t xml:space="preserve"> </w:t>
      </w:r>
      <w:r w:rsidR="0071224E" w:rsidRPr="00456A18">
        <w:rPr>
          <w:rFonts w:ascii="Arial" w:hAnsi="Arial" w:cs="Arial"/>
        </w:rPr>
        <w:t xml:space="preserve">un créneau sans concurrence dans la localité et le support à la mise en place d’infrastructures </w:t>
      </w:r>
      <w:r w:rsidR="000726AD" w:rsidRPr="00456A18">
        <w:rPr>
          <w:rFonts w:ascii="Arial" w:hAnsi="Arial" w:cs="Arial"/>
        </w:rPr>
        <w:t>seront priorisés dans l’analyse des demandes au fonds de vitalisation.</w:t>
      </w:r>
    </w:p>
    <w:p w14:paraId="18A68C9B" w14:textId="08349C8E" w:rsidR="0034358B" w:rsidRPr="00456A18" w:rsidRDefault="00574110" w:rsidP="0057486E">
      <w:pPr>
        <w:pStyle w:val="Titre3"/>
        <w:numPr>
          <w:ilvl w:val="0"/>
          <w:numId w:val="9"/>
        </w:numPr>
        <w:ind w:hanging="720"/>
        <w:rPr>
          <w:rFonts w:ascii="Arial" w:hAnsi="Arial" w:cs="Arial"/>
        </w:rPr>
      </w:pPr>
      <w:bookmarkStart w:id="13" w:name="_Toc66453624"/>
      <w:r w:rsidRPr="00456A18">
        <w:rPr>
          <w:rFonts w:ascii="Arial" w:hAnsi="Arial" w:cs="Arial"/>
        </w:rPr>
        <w:lastRenderedPageBreak/>
        <w:t>L’occupation dynamique du territoire</w:t>
      </w:r>
      <w:bookmarkEnd w:id="13"/>
      <w:r w:rsidRPr="00456A18">
        <w:rPr>
          <w:rFonts w:ascii="Arial" w:hAnsi="Arial" w:cs="Arial"/>
        </w:rPr>
        <w:t xml:space="preserve"> </w:t>
      </w:r>
    </w:p>
    <w:p w14:paraId="5D072438" w14:textId="33B75D79" w:rsidR="00574110" w:rsidRDefault="009318CF" w:rsidP="003A6335">
      <w:pPr>
        <w:jc w:val="both"/>
        <w:rPr>
          <w:rFonts w:ascii="Arial" w:hAnsi="Arial" w:cs="Arial"/>
        </w:rPr>
      </w:pPr>
      <w:r w:rsidRPr="00456A18">
        <w:rPr>
          <w:rFonts w:ascii="Arial" w:hAnsi="Arial" w:cs="Arial"/>
        </w:rPr>
        <w:t xml:space="preserve">L’occupation du territoire passe par des projets originaux et </w:t>
      </w:r>
      <w:r w:rsidR="00183EE6" w:rsidRPr="00456A18">
        <w:rPr>
          <w:rFonts w:ascii="Arial" w:hAnsi="Arial" w:cs="Arial"/>
        </w:rPr>
        <w:t xml:space="preserve">par des services de qualité aux citoyens. C’est pourquoi il faut oser le développer sur l’ensemble de la région, au bénéfice de chaque municipalité. </w:t>
      </w:r>
      <w:r w:rsidR="0007192C" w:rsidRPr="00456A18">
        <w:rPr>
          <w:rFonts w:ascii="Arial" w:hAnsi="Arial" w:cs="Arial"/>
        </w:rPr>
        <w:t>Toute initiative porteuse de dynamisme doit être encouragée et supportée, dans l’intérêt de la vitalité aux quatre coins de la MRC.</w:t>
      </w:r>
    </w:p>
    <w:p w14:paraId="1C89AE05" w14:textId="68E5BF18" w:rsidR="00022115" w:rsidRDefault="00022115" w:rsidP="00D536D9">
      <w:pPr>
        <w:rPr>
          <w:rFonts w:ascii="Arial" w:hAnsi="Arial" w:cs="Arial"/>
        </w:rPr>
      </w:pPr>
    </w:p>
    <w:p w14:paraId="50E0EE49" w14:textId="77777777" w:rsidR="00022115" w:rsidRPr="00456A18" w:rsidRDefault="00022115" w:rsidP="00D536D9">
      <w:pPr>
        <w:rPr>
          <w:rFonts w:ascii="Arial" w:hAnsi="Arial" w:cs="Arial"/>
        </w:rPr>
      </w:pPr>
    </w:p>
    <w:p w14:paraId="486CD433" w14:textId="77777777" w:rsidR="00D55B38" w:rsidRPr="00456A18" w:rsidRDefault="00D55B38">
      <w:pPr>
        <w:rPr>
          <w:rFonts w:ascii="Arial" w:hAnsi="Arial" w:cs="Arial"/>
          <w:b/>
          <w:bCs/>
          <w:i/>
          <w:iCs/>
          <w:u w:val="single"/>
        </w:rPr>
      </w:pPr>
      <w:r w:rsidRPr="00456A18">
        <w:rPr>
          <w:rFonts w:ascii="Arial" w:hAnsi="Arial" w:cs="Arial"/>
          <w:b/>
          <w:bCs/>
          <w:i/>
          <w:iCs/>
          <w:u w:val="single"/>
        </w:rPr>
        <w:br w:type="page"/>
      </w:r>
    </w:p>
    <w:p w14:paraId="121583B8" w14:textId="5135075F" w:rsidR="00AC1D8A" w:rsidRPr="00456A18" w:rsidRDefault="008B66A3" w:rsidP="00E10044">
      <w:pPr>
        <w:pStyle w:val="Titre1"/>
        <w:rPr>
          <w:rFonts w:ascii="Arial" w:hAnsi="Arial" w:cs="Arial"/>
        </w:rPr>
      </w:pPr>
      <w:bookmarkStart w:id="14" w:name="_Toc66453625"/>
      <w:r w:rsidRPr="00456A18">
        <w:rPr>
          <w:rFonts w:ascii="Arial" w:hAnsi="Arial" w:cs="Arial"/>
        </w:rPr>
        <w:lastRenderedPageBreak/>
        <w:t>ADMISSIBILITÉ DES PROJETS</w:t>
      </w:r>
      <w:bookmarkEnd w:id="14"/>
      <w:r w:rsidRPr="00456A18">
        <w:rPr>
          <w:rFonts w:ascii="Arial" w:hAnsi="Arial" w:cs="Arial"/>
        </w:rPr>
        <w:t xml:space="preserve"> </w:t>
      </w:r>
    </w:p>
    <w:p w14:paraId="5E6ADF7E" w14:textId="39452664" w:rsidR="00794F91" w:rsidRPr="00456A18" w:rsidRDefault="00794F91" w:rsidP="00D55B38">
      <w:pPr>
        <w:spacing w:before="100" w:beforeAutospacing="1" w:after="240"/>
        <w:jc w:val="both"/>
        <w:rPr>
          <w:rFonts w:ascii="Arial" w:eastAsia="Times New Roman" w:hAnsi="Arial" w:cs="Arial"/>
          <w:lang w:val="fr-FR" w:eastAsia="fr-CA"/>
        </w:rPr>
      </w:pPr>
      <w:r w:rsidRPr="00456A18">
        <w:rPr>
          <w:rFonts w:ascii="Arial" w:eastAsia="Times New Roman" w:hAnsi="Arial" w:cs="Arial"/>
          <w:lang w:val="fr-FR" w:eastAsia="fr-CA"/>
        </w:rPr>
        <w:t>La vitalisation du territoire témiscouatain passe par le déploiement d’initiatives porteuses à l’échelle</w:t>
      </w:r>
      <w:r w:rsidR="00C635C9" w:rsidRPr="00456A18">
        <w:rPr>
          <w:rFonts w:ascii="Arial" w:eastAsia="Times New Roman" w:hAnsi="Arial" w:cs="Arial"/>
          <w:lang w:val="fr-FR" w:eastAsia="fr-CA"/>
        </w:rPr>
        <w:t xml:space="preserve"> locale et </w:t>
      </w:r>
      <w:r w:rsidRPr="00456A18">
        <w:rPr>
          <w:rFonts w:ascii="Arial" w:eastAsia="Times New Roman" w:hAnsi="Arial" w:cs="Arial"/>
          <w:lang w:val="fr-FR" w:eastAsia="fr-CA"/>
        </w:rPr>
        <w:t>région</w:t>
      </w:r>
      <w:r w:rsidR="00C635C9" w:rsidRPr="00456A18">
        <w:rPr>
          <w:rFonts w:ascii="Arial" w:eastAsia="Times New Roman" w:hAnsi="Arial" w:cs="Arial"/>
          <w:lang w:val="fr-FR" w:eastAsia="fr-CA"/>
        </w:rPr>
        <w:t>ale</w:t>
      </w:r>
      <w:r w:rsidRPr="00456A18">
        <w:rPr>
          <w:rFonts w:ascii="Arial" w:eastAsia="Times New Roman" w:hAnsi="Arial" w:cs="Arial"/>
          <w:lang w:val="fr-FR" w:eastAsia="fr-CA"/>
        </w:rPr>
        <w:t xml:space="preserve">, mais également par la consolidation des acquis et leur préservation pour les générations futures. Dans cet esprit, le fonds doit à la fois encourager les nouveaux projets et soutenir des actions et des organismes </w:t>
      </w:r>
      <w:r w:rsidR="00A97155" w:rsidRPr="00456A18">
        <w:rPr>
          <w:rFonts w:ascii="Arial" w:eastAsia="Times New Roman" w:hAnsi="Arial" w:cs="Arial"/>
          <w:lang w:val="fr-FR" w:eastAsia="fr-CA"/>
        </w:rPr>
        <w:t>déjà</w:t>
      </w:r>
      <w:r w:rsidRPr="00456A18">
        <w:rPr>
          <w:rFonts w:ascii="Arial" w:eastAsia="Times New Roman" w:hAnsi="Arial" w:cs="Arial"/>
          <w:lang w:val="fr-FR" w:eastAsia="fr-CA"/>
        </w:rPr>
        <w:t xml:space="preserve"> implantés dans le milieu</w:t>
      </w:r>
      <w:r w:rsidR="00A97155" w:rsidRPr="00456A18">
        <w:rPr>
          <w:rFonts w:ascii="Arial" w:eastAsia="Times New Roman" w:hAnsi="Arial" w:cs="Arial"/>
          <w:lang w:val="fr-FR" w:eastAsia="fr-CA"/>
        </w:rPr>
        <w:t>, notamment pour le maintien des services de proximité</w:t>
      </w:r>
      <w:r w:rsidRPr="00456A18">
        <w:rPr>
          <w:rFonts w:ascii="Arial" w:eastAsia="Times New Roman" w:hAnsi="Arial" w:cs="Arial"/>
          <w:lang w:val="fr-FR" w:eastAsia="fr-CA"/>
        </w:rPr>
        <w:t xml:space="preserve">. </w:t>
      </w:r>
    </w:p>
    <w:p w14:paraId="450CC0B6" w14:textId="77777777" w:rsidR="00411B32" w:rsidRPr="008B66A3" w:rsidRDefault="00411B32" w:rsidP="00E10044">
      <w:pPr>
        <w:pStyle w:val="Titre2"/>
        <w:rPr>
          <w:rFonts w:ascii="Arial" w:hAnsi="Arial" w:cs="Arial"/>
          <w:sz w:val="24"/>
          <w:szCs w:val="24"/>
        </w:rPr>
      </w:pPr>
      <w:bookmarkStart w:id="15" w:name="_Toc66453626"/>
      <w:r w:rsidRPr="008B66A3">
        <w:rPr>
          <w:rFonts w:ascii="Arial" w:hAnsi="Arial" w:cs="Arial"/>
          <w:sz w:val="24"/>
          <w:szCs w:val="24"/>
        </w:rPr>
        <w:t>Projets admissibles à un financement</w:t>
      </w:r>
      <w:bookmarkEnd w:id="15"/>
    </w:p>
    <w:p w14:paraId="4D66B415" w14:textId="77777777" w:rsidR="00411B32" w:rsidRPr="00456A18" w:rsidRDefault="00411B32" w:rsidP="005A1687">
      <w:pPr>
        <w:pStyle w:val="Default"/>
        <w:spacing w:line="276" w:lineRule="auto"/>
        <w:jc w:val="both"/>
        <w:rPr>
          <w:rFonts w:ascii="Arial" w:hAnsi="Arial" w:cs="Arial"/>
          <w:sz w:val="22"/>
          <w:szCs w:val="22"/>
        </w:rPr>
      </w:pPr>
      <w:r w:rsidRPr="00456A18">
        <w:rPr>
          <w:rFonts w:ascii="Arial" w:hAnsi="Arial" w:cs="Arial"/>
          <w:sz w:val="22"/>
          <w:szCs w:val="22"/>
        </w:rPr>
        <w:t xml:space="preserve">Pour être admissibles, les projets doivent directement s’inscrire dans les axes de vitalisation du plan. Ils doivent constituer une initiative d’une durée limitée dans le temps, de nature ponctuelle et non récurrente, et n’incluant pas les charges que doit </w:t>
      </w:r>
      <w:r w:rsidR="008B4B83" w:rsidRPr="00456A18">
        <w:rPr>
          <w:rFonts w:ascii="Arial" w:hAnsi="Arial" w:cs="Arial"/>
          <w:sz w:val="22"/>
          <w:szCs w:val="22"/>
        </w:rPr>
        <w:t xml:space="preserve">assumer </w:t>
      </w:r>
      <w:r w:rsidRPr="00456A18">
        <w:rPr>
          <w:rFonts w:ascii="Arial" w:hAnsi="Arial" w:cs="Arial"/>
          <w:sz w:val="22"/>
          <w:szCs w:val="22"/>
        </w:rPr>
        <w:t>l’organisme pour rester en activité indépendamment du volume de ses activités.</w:t>
      </w:r>
    </w:p>
    <w:p w14:paraId="78176257" w14:textId="77777777" w:rsidR="00411B32" w:rsidRPr="00456A18" w:rsidRDefault="00411B32" w:rsidP="005A1687">
      <w:pPr>
        <w:pStyle w:val="Default"/>
        <w:spacing w:line="276" w:lineRule="auto"/>
        <w:rPr>
          <w:rFonts w:ascii="Arial" w:hAnsi="Arial" w:cs="Arial"/>
          <w:sz w:val="22"/>
          <w:szCs w:val="22"/>
        </w:rPr>
      </w:pPr>
    </w:p>
    <w:p w14:paraId="3424A635" w14:textId="77777777" w:rsidR="00411B32" w:rsidRPr="008B66A3" w:rsidRDefault="00411B32" w:rsidP="00E10044">
      <w:pPr>
        <w:pStyle w:val="Titre2"/>
        <w:rPr>
          <w:rFonts w:ascii="Arial" w:hAnsi="Arial" w:cs="Arial"/>
          <w:sz w:val="24"/>
          <w:szCs w:val="24"/>
        </w:rPr>
      </w:pPr>
      <w:bookmarkStart w:id="16" w:name="_Toc66453627"/>
      <w:r w:rsidRPr="008B66A3">
        <w:rPr>
          <w:rFonts w:ascii="Arial" w:hAnsi="Arial" w:cs="Arial"/>
          <w:sz w:val="24"/>
          <w:szCs w:val="24"/>
        </w:rPr>
        <w:t>Projets non admissibles à un financement</w:t>
      </w:r>
      <w:bookmarkEnd w:id="16"/>
    </w:p>
    <w:p w14:paraId="7D0909CE" w14:textId="035EB3B6" w:rsidR="00411B32" w:rsidRPr="00456A18" w:rsidRDefault="00411B32" w:rsidP="005A1687">
      <w:pPr>
        <w:pStyle w:val="Default"/>
        <w:spacing w:line="276" w:lineRule="auto"/>
        <w:jc w:val="both"/>
        <w:rPr>
          <w:rFonts w:ascii="Arial" w:hAnsi="Arial" w:cs="Arial"/>
          <w:sz w:val="22"/>
          <w:szCs w:val="22"/>
        </w:rPr>
      </w:pPr>
      <w:r w:rsidRPr="00456A18">
        <w:rPr>
          <w:rFonts w:ascii="Arial" w:hAnsi="Arial" w:cs="Arial"/>
          <w:sz w:val="22"/>
          <w:szCs w:val="22"/>
        </w:rPr>
        <w:t>Les projets suivants ne sont pas admissibles :</w:t>
      </w:r>
    </w:p>
    <w:p w14:paraId="5ECA19C6" w14:textId="77777777" w:rsidR="00411B32" w:rsidRPr="00456A18" w:rsidRDefault="00411B32" w:rsidP="00411B32">
      <w:pPr>
        <w:pStyle w:val="Default"/>
        <w:numPr>
          <w:ilvl w:val="0"/>
          <w:numId w:val="7"/>
        </w:numPr>
        <w:spacing w:line="276" w:lineRule="auto"/>
        <w:jc w:val="both"/>
        <w:rPr>
          <w:rFonts w:ascii="Arial" w:hAnsi="Arial" w:cs="Arial"/>
          <w:sz w:val="22"/>
          <w:szCs w:val="22"/>
        </w:rPr>
      </w:pPr>
      <w:r w:rsidRPr="00456A18">
        <w:rPr>
          <w:rFonts w:ascii="Arial" w:hAnsi="Arial" w:cs="Arial"/>
          <w:sz w:val="22"/>
          <w:szCs w:val="22"/>
        </w:rPr>
        <w:t>Les projets qui entreraient en contradiction avec une politique gouvernementale ou une mesure approuvée par le Conseil du trésor ou le gouvernement du Québec, ou qui couvriraient une activité déjà financée par des règles budgétaires approuvées par ce dernier;</w:t>
      </w:r>
    </w:p>
    <w:p w14:paraId="0A4B972D" w14:textId="0180FBF5" w:rsidR="00411B32" w:rsidRPr="00456A18" w:rsidRDefault="00411B32" w:rsidP="00411B32">
      <w:pPr>
        <w:pStyle w:val="Default"/>
        <w:numPr>
          <w:ilvl w:val="0"/>
          <w:numId w:val="7"/>
        </w:numPr>
        <w:spacing w:line="276" w:lineRule="auto"/>
        <w:jc w:val="both"/>
        <w:rPr>
          <w:rFonts w:ascii="Arial" w:hAnsi="Arial" w:cs="Arial"/>
          <w:sz w:val="22"/>
          <w:szCs w:val="22"/>
        </w:rPr>
      </w:pPr>
      <w:r w:rsidRPr="00456A18">
        <w:rPr>
          <w:rFonts w:ascii="Arial" w:hAnsi="Arial" w:cs="Arial"/>
          <w:sz w:val="22"/>
          <w:szCs w:val="22"/>
        </w:rPr>
        <w:t>Les projets dans le domaine du commerce de détail ou de la restauration, sauf pour offrir un service de proximité qui n</w:t>
      </w:r>
      <w:r w:rsidR="00806E12" w:rsidRPr="00456A18">
        <w:rPr>
          <w:rFonts w:ascii="Arial" w:hAnsi="Arial" w:cs="Arial"/>
          <w:sz w:val="22"/>
          <w:szCs w:val="22"/>
        </w:rPr>
        <w:t>’es</w:t>
      </w:r>
      <w:r w:rsidRPr="00456A18">
        <w:rPr>
          <w:rFonts w:ascii="Arial" w:hAnsi="Arial" w:cs="Arial"/>
          <w:sz w:val="22"/>
          <w:szCs w:val="22"/>
        </w:rPr>
        <w:t>t pas en situation de concurrence;</w:t>
      </w:r>
    </w:p>
    <w:p w14:paraId="10F34F73" w14:textId="77777777" w:rsidR="00411B32" w:rsidRPr="00456A18" w:rsidRDefault="00411B32" w:rsidP="00411B32">
      <w:pPr>
        <w:pStyle w:val="Default"/>
        <w:numPr>
          <w:ilvl w:val="0"/>
          <w:numId w:val="7"/>
        </w:numPr>
        <w:spacing w:line="276" w:lineRule="auto"/>
        <w:jc w:val="both"/>
        <w:rPr>
          <w:rFonts w:ascii="Arial" w:hAnsi="Arial" w:cs="Arial"/>
          <w:sz w:val="22"/>
          <w:szCs w:val="22"/>
        </w:rPr>
      </w:pPr>
      <w:r w:rsidRPr="00456A18">
        <w:rPr>
          <w:rFonts w:ascii="Arial" w:hAnsi="Arial" w:cs="Arial"/>
          <w:sz w:val="22"/>
          <w:szCs w:val="22"/>
        </w:rPr>
        <w:t>Les projets associés à la mise en place ou à l’expansion de services de santé (ex : les coopératives de santé);</w:t>
      </w:r>
    </w:p>
    <w:p w14:paraId="613BA7CC" w14:textId="4C6AF7DC" w:rsidR="00411B32" w:rsidRPr="00456A18" w:rsidRDefault="00411B32" w:rsidP="00411B32">
      <w:pPr>
        <w:pStyle w:val="Default"/>
        <w:numPr>
          <w:ilvl w:val="0"/>
          <w:numId w:val="7"/>
        </w:numPr>
        <w:spacing w:line="276" w:lineRule="auto"/>
        <w:jc w:val="both"/>
        <w:rPr>
          <w:rFonts w:ascii="Arial" w:hAnsi="Arial" w:cs="Arial"/>
          <w:sz w:val="22"/>
          <w:szCs w:val="22"/>
        </w:rPr>
      </w:pPr>
      <w:r w:rsidRPr="00456A18">
        <w:rPr>
          <w:rFonts w:ascii="Arial" w:hAnsi="Arial" w:cs="Arial"/>
          <w:sz w:val="22"/>
          <w:szCs w:val="22"/>
        </w:rPr>
        <w:t>Les projets qui consistent en des études, en des démarches, en des plans d’action ou en des planifications stratégiques réalisé</w:t>
      </w:r>
      <w:r w:rsidR="00A17D6D">
        <w:rPr>
          <w:rFonts w:ascii="Arial" w:hAnsi="Arial" w:cs="Arial"/>
          <w:sz w:val="22"/>
          <w:szCs w:val="22"/>
        </w:rPr>
        <w:t>e</w:t>
      </w:r>
      <w:r w:rsidRPr="00456A18">
        <w:rPr>
          <w:rFonts w:ascii="Arial" w:hAnsi="Arial" w:cs="Arial"/>
          <w:sz w:val="22"/>
          <w:szCs w:val="22"/>
        </w:rPr>
        <w:t>s dans le cadre des activités régulières d’un organisme. Ce type de projet pourrait toutefois être admissible dans les cas où il est clairement démontré qu’il répond à un enjeu ou à une situation particulière en matière de vitalisation;</w:t>
      </w:r>
    </w:p>
    <w:p w14:paraId="48A11FB7" w14:textId="77777777" w:rsidR="00411B32" w:rsidRPr="00456A18" w:rsidRDefault="00411B32" w:rsidP="00411B32">
      <w:pPr>
        <w:pStyle w:val="Default"/>
        <w:numPr>
          <w:ilvl w:val="0"/>
          <w:numId w:val="7"/>
        </w:numPr>
        <w:spacing w:line="276" w:lineRule="auto"/>
        <w:jc w:val="both"/>
        <w:rPr>
          <w:rFonts w:ascii="Arial" w:hAnsi="Arial" w:cs="Arial"/>
          <w:sz w:val="22"/>
          <w:szCs w:val="22"/>
        </w:rPr>
      </w:pPr>
      <w:r w:rsidRPr="00456A18">
        <w:rPr>
          <w:rFonts w:ascii="Arial" w:hAnsi="Arial" w:cs="Arial"/>
          <w:sz w:val="22"/>
          <w:szCs w:val="22"/>
        </w:rPr>
        <w:t>Les projets liés à l’administration municipale;</w:t>
      </w:r>
    </w:p>
    <w:p w14:paraId="684A8AD1" w14:textId="77777777" w:rsidR="00411B32" w:rsidRPr="00456A18" w:rsidRDefault="00411B32" w:rsidP="00411B32">
      <w:pPr>
        <w:pStyle w:val="Default"/>
        <w:numPr>
          <w:ilvl w:val="0"/>
          <w:numId w:val="7"/>
        </w:numPr>
        <w:spacing w:line="276" w:lineRule="auto"/>
        <w:jc w:val="both"/>
        <w:rPr>
          <w:rFonts w:ascii="Arial" w:hAnsi="Arial" w:cs="Arial"/>
          <w:sz w:val="22"/>
          <w:szCs w:val="22"/>
        </w:rPr>
      </w:pPr>
      <w:r w:rsidRPr="00456A18">
        <w:rPr>
          <w:rFonts w:ascii="Arial" w:hAnsi="Arial" w:cs="Arial"/>
          <w:sz w:val="22"/>
          <w:szCs w:val="22"/>
        </w:rPr>
        <w:t>Les projets reliés au lieu de culte, sauf s’il s’agit d’une reconversion du bâtiment pour lui donner une autre vocation que religieuse.</w:t>
      </w:r>
    </w:p>
    <w:p w14:paraId="6B6A2E11" w14:textId="703F4E05" w:rsidR="00E22C07" w:rsidRPr="00456A18" w:rsidRDefault="008B66A3" w:rsidP="00E10044">
      <w:pPr>
        <w:pStyle w:val="Titre1"/>
        <w:rPr>
          <w:rFonts w:ascii="Arial" w:hAnsi="Arial" w:cs="Arial"/>
        </w:rPr>
      </w:pPr>
      <w:bookmarkStart w:id="17" w:name="_Toc66453628"/>
      <w:r w:rsidRPr="00456A18">
        <w:rPr>
          <w:rFonts w:ascii="Arial" w:hAnsi="Arial" w:cs="Arial"/>
        </w:rPr>
        <w:t>DÉPENSES ADMISSIBLES</w:t>
      </w:r>
      <w:bookmarkEnd w:id="17"/>
    </w:p>
    <w:p w14:paraId="63763E41" w14:textId="77777777" w:rsidR="00E22C07" w:rsidRPr="00456A18" w:rsidRDefault="00612BFF" w:rsidP="00E22C07">
      <w:pPr>
        <w:spacing w:before="100" w:beforeAutospacing="1" w:after="100" w:afterAutospacing="1"/>
        <w:jc w:val="both"/>
        <w:rPr>
          <w:rFonts w:ascii="Arial" w:hAnsi="Arial" w:cs="Arial"/>
          <w:color w:val="000000"/>
          <w:sz w:val="20"/>
          <w:szCs w:val="20"/>
        </w:rPr>
      </w:pPr>
      <w:r w:rsidRPr="00456A18">
        <w:rPr>
          <w:rFonts w:ascii="Arial" w:hAnsi="Arial" w:cs="Arial"/>
          <w:color w:val="000000"/>
          <w:sz w:val="20"/>
          <w:szCs w:val="20"/>
        </w:rPr>
        <w:t>Sous réserve du respect des lois et des règlements applicables, les dépenses admissibles sont :</w:t>
      </w:r>
    </w:p>
    <w:p w14:paraId="4A3F3C06" w14:textId="7326E907" w:rsidR="00612BFF" w:rsidRPr="00456A18" w:rsidRDefault="00612BFF" w:rsidP="00612BFF">
      <w:pPr>
        <w:pStyle w:val="Paragraphedeliste"/>
        <w:numPr>
          <w:ilvl w:val="0"/>
          <w:numId w:val="6"/>
        </w:numPr>
        <w:spacing w:before="100" w:beforeAutospacing="1" w:after="100" w:afterAutospacing="1"/>
        <w:jc w:val="both"/>
        <w:rPr>
          <w:rFonts w:ascii="Arial" w:hAnsi="Arial" w:cs="Arial"/>
          <w:color w:val="000000"/>
          <w:sz w:val="20"/>
          <w:szCs w:val="20"/>
        </w:rPr>
      </w:pPr>
      <w:r w:rsidRPr="00456A18">
        <w:rPr>
          <w:rFonts w:ascii="Arial" w:hAnsi="Arial" w:cs="Arial"/>
          <w:color w:val="000000"/>
          <w:sz w:val="20"/>
          <w:szCs w:val="20"/>
        </w:rPr>
        <w:t>Le financement de projets réalisés par des organismes admissibles en conformité avec le présent cadre de vitalisation.</w:t>
      </w:r>
    </w:p>
    <w:p w14:paraId="36C6A229" w14:textId="77777777" w:rsidR="007B67F3" w:rsidRPr="00456A18" w:rsidRDefault="007B67F3" w:rsidP="007B67F3">
      <w:pPr>
        <w:spacing w:before="100" w:beforeAutospacing="1" w:after="100" w:afterAutospacing="1"/>
        <w:jc w:val="both"/>
        <w:rPr>
          <w:rFonts w:ascii="Arial" w:hAnsi="Arial" w:cs="Arial"/>
          <w:color w:val="000000"/>
          <w:sz w:val="20"/>
          <w:szCs w:val="20"/>
        </w:rPr>
      </w:pPr>
    </w:p>
    <w:p w14:paraId="76EE880B" w14:textId="6A987534" w:rsidR="00612BFF" w:rsidRPr="00456A18" w:rsidRDefault="008B66A3" w:rsidP="00E10044">
      <w:pPr>
        <w:pStyle w:val="Titre1"/>
        <w:rPr>
          <w:rFonts w:ascii="Arial" w:hAnsi="Arial" w:cs="Arial"/>
        </w:rPr>
      </w:pPr>
      <w:bookmarkStart w:id="18" w:name="_Toc66453629"/>
      <w:r w:rsidRPr="00456A18">
        <w:rPr>
          <w:rFonts w:ascii="Arial" w:hAnsi="Arial" w:cs="Arial"/>
        </w:rPr>
        <w:lastRenderedPageBreak/>
        <w:t>DÉPENSES NON ADMISSIBLES</w:t>
      </w:r>
      <w:bookmarkEnd w:id="18"/>
    </w:p>
    <w:p w14:paraId="6220E17E" w14:textId="77777777" w:rsidR="008F3A80" w:rsidRDefault="008F3A80" w:rsidP="00D55B38">
      <w:pPr>
        <w:pStyle w:val="Default"/>
        <w:spacing w:line="276" w:lineRule="auto"/>
        <w:rPr>
          <w:rFonts w:ascii="Arial" w:hAnsi="Arial" w:cs="Arial"/>
          <w:sz w:val="22"/>
          <w:szCs w:val="22"/>
        </w:rPr>
      </w:pPr>
    </w:p>
    <w:p w14:paraId="37E61458" w14:textId="025A6D54" w:rsidR="00612BFF" w:rsidRPr="00456A18" w:rsidRDefault="00DA5604" w:rsidP="00D55B38">
      <w:pPr>
        <w:pStyle w:val="Default"/>
        <w:spacing w:line="276" w:lineRule="auto"/>
        <w:rPr>
          <w:rFonts w:ascii="Arial" w:hAnsi="Arial" w:cs="Arial"/>
          <w:sz w:val="22"/>
          <w:szCs w:val="22"/>
        </w:rPr>
      </w:pPr>
      <w:r w:rsidRPr="00456A18">
        <w:rPr>
          <w:rFonts w:ascii="Arial" w:hAnsi="Arial" w:cs="Arial"/>
          <w:sz w:val="22"/>
          <w:szCs w:val="22"/>
        </w:rPr>
        <w:t xml:space="preserve">Les dépenses non admissibles sont : </w:t>
      </w:r>
    </w:p>
    <w:p w14:paraId="10A741AC" w14:textId="77777777" w:rsidR="00DA5604" w:rsidRPr="00456A18" w:rsidRDefault="00DA5604" w:rsidP="00CA553E">
      <w:pPr>
        <w:pStyle w:val="Default"/>
        <w:numPr>
          <w:ilvl w:val="0"/>
          <w:numId w:val="6"/>
        </w:numPr>
        <w:spacing w:line="276" w:lineRule="auto"/>
        <w:jc w:val="both"/>
        <w:rPr>
          <w:rFonts w:ascii="Arial" w:hAnsi="Arial" w:cs="Arial"/>
          <w:sz w:val="22"/>
          <w:szCs w:val="22"/>
        </w:rPr>
      </w:pPr>
      <w:r w:rsidRPr="00456A18">
        <w:rPr>
          <w:rFonts w:ascii="Arial" w:hAnsi="Arial" w:cs="Arial"/>
          <w:sz w:val="22"/>
          <w:szCs w:val="22"/>
        </w:rPr>
        <w:t>Le déficit d’opération d’un organisme admissible, le remboursement d’emprunts ou le renflouement de son fonds de roulement;</w:t>
      </w:r>
    </w:p>
    <w:p w14:paraId="7B8F24D2" w14:textId="77777777" w:rsidR="00DA5604" w:rsidRPr="00456A18" w:rsidRDefault="00DA5604" w:rsidP="00CA553E">
      <w:pPr>
        <w:pStyle w:val="Default"/>
        <w:numPr>
          <w:ilvl w:val="0"/>
          <w:numId w:val="6"/>
        </w:numPr>
        <w:spacing w:line="276" w:lineRule="auto"/>
        <w:jc w:val="both"/>
        <w:rPr>
          <w:rFonts w:ascii="Arial" w:hAnsi="Arial" w:cs="Arial"/>
          <w:sz w:val="22"/>
          <w:szCs w:val="22"/>
        </w:rPr>
      </w:pPr>
      <w:r w:rsidRPr="00456A18">
        <w:rPr>
          <w:rFonts w:ascii="Arial" w:hAnsi="Arial" w:cs="Arial"/>
          <w:sz w:val="22"/>
          <w:szCs w:val="22"/>
        </w:rPr>
        <w:t>Les dépenses effectuées avant l’acceptation du projet par la MRC;</w:t>
      </w:r>
    </w:p>
    <w:p w14:paraId="3D84751D" w14:textId="77777777" w:rsidR="00DA5604" w:rsidRPr="00456A18" w:rsidRDefault="00DA5604" w:rsidP="00CA553E">
      <w:pPr>
        <w:pStyle w:val="Default"/>
        <w:numPr>
          <w:ilvl w:val="0"/>
          <w:numId w:val="6"/>
        </w:numPr>
        <w:spacing w:line="276" w:lineRule="auto"/>
        <w:jc w:val="both"/>
        <w:rPr>
          <w:rFonts w:ascii="Arial" w:hAnsi="Arial" w:cs="Arial"/>
          <w:sz w:val="22"/>
          <w:szCs w:val="22"/>
        </w:rPr>
      </w:pPr>
      <w:r w:rsidRPr="00456A18">
        <w:rPr>
          <w:rFonts w:ascii="Arial" w:hAnsi="Arial" w:cs="Arial"/>
          <w:sz w:val="22"/>
          <w:szCs w:val="22"/>
        </w:rPr>
        <w:t>Les dépenses déjà payées par la MRC et le gouvernement du Québec pour le même projet;</w:t>
      </w:r>
    </w:p>
    <w:p w14:paraId="1D8DB7DF" w14:textId="77777777" w:rsidR="00DA5604" w:rsidRPr="00456A18" w:rsidRDefault="00DA5604" w:rsidP="00CA553E">
      <w:pPr>
        <w:pStyle w:val="Default"/>
        <w:numPr>
          <w:ilvl w:val="0"/>
          <w:numId w:val="6"/>
        </w:numPr>
        <w:spacing w:line="276" w:lineRule="auto"/>
        <w:jc w:val="both"/>
        <w:rPr>
          <w:rFonts w:ascii="Arial" w:hAnsi="Arial" w:cs="Arial"/>
          <w:sz w:val="22"/>
          <w:szCs w:val="22"/>
        </w:rPr>
      </w:pPr>
      <w:r w:rsidRPr="00456A18">
        <w:rPr>
          <w:rFonts w:ascii="Arial" w:hAnsi="Arial" w:cs="Arial"/>
          <w:sz w:val="22"/>
          <w:szCs w:val="22"/>
        </w:rPr>
        <w:t>Les dépenses liées à un projet déjà réalisé;</w:t>
      </w:r>
    </w:p>
    <w:p w14:paraId="60D3B3C9" w14:textId="77777777" w:rsidR="00DA5604" w:rsidRPr="00456A18" w:rsidRDefault="00DA5604" w:rsidP="00CA553E">
      <w:pPr>
        <w:pStyle w:val="Default"/>
        <w:numPr>
          <w:ilvl w:val="0"/>
          <w:numId w:val="6"/>
        </w:numPr>
        <w:spacing w:line="276" w:lineRule="auto"/>
        <w:jc w:val="both"/>
        <w:rPr>
          <w:rFonts w:ascii="Arial" w:hAnsi="Arial" w:cs="Arial"/>
          <w:sz w:val="22"/>
          <w:szCs w:val="22"/>
        </w:rPr>
      </w:pPr>
      <w:r w:rsidRPr="00456A18">
        <w:rPr>
          <w:rFonts w:ascii="Arial" w:hAnsi="Arial" w:cs="Arial"/>
          <w:sz w:val="22"/>
          <w:szCs w:val="22"/>
        </w:rPr>
        <w:t>Toute dépense qui n’est pas directement liée au projet;</w:t>
      </w:r>
    </w:p>
    <w:p w14:paraId="34A514B1" w14:textId="77777777" w:rsidR="00DA5604" w:rsidRPr="00456A18" w:rsidRDefault="00DA5604" w:rsidP="00CA553E">
      <w:pPr>
        <w:pStyle w:val="Default"/>
        <w:numPr>
          <w:ilvl w:val="0"/>
          <w:numId w:val="6"/>
        </w:numPr>
        <w:spacing w:line="276" w:lineRule="auto"/>
        <w:jc w:val="both"/>
        <w:rPr>
          <w:rFonts w:ascii="Arial" w:hAnsi="Arial" w:cs="Arial"/>
          <w:sz w:val="22"/>
          <w:szCs w:val="22"/>
        </w:rPr>
      </w:pPr>
      <w:r w:rsidRPr="00456A18">
        <w:rPr>
          <w:rFonts w:ascii="Arial" w:hAnsi="Arial" w:cs="Arial"/>
          <w:sz w:val="22"/>
          <w:szCs w:val="22"/>
        </w:rPr>
        <w:t>Toute dépense visant le déplacement d’une entreprise ou d’un organisme à moins que la municipalité locale où se trouve cette entreprise ou cet organisme y consente;</w:t>
      </w:r>
    </w:p>
    <w:p w14:paraId="3C1788A4" w14:textId="01AA5B85" w:rsidR="00DA5604" w:rsidRPr="00456A18" w:rsidRDefault="00DA5604" w:rsidP="00CA553E">
      <w:pPr>
        <w:pStyle w:val="Default"/>
        <w:numPr>
          <w:ilvl w:val="0"/>
          <w:numId w:val="6"/>
        </w:numPr>
        <w:spacing w:line="276" w:lineRule="auto"/>
        <w:jc w:val="both"/>
        <w:rPr>
          <w:rFonts w:ascii="Arial" w:hAnsi="Arial" w:cs="Arial"/>
          <w:sz w:val="22"/>
          <w:szCs w:val="22"/>
        </w:rPr>
      </w:pPr>
      <w:r w:rsidRPr="00456A18">
        <w:rPr>
          <w:rFonts w:ascii="Arial" w:hAnsi="Arial" w:cs="Arial"/>
          <w:sz w:val="22"/>
          <w:szCs w:val="22"/>
        </w:rPr>
        <w:t>Toute subvention à l’administration gouvernementale, à l’exception des organismes des réseaux du milieu de l’éducation</w:t>
      </w:r>
      <w:r w:rsidR="008C7D19" w:rsidRPr="00456A18">
        <w:rPr>
          <w:rFonts w:ascii="Arial" w:hAnsi="Arial" w:cs="Arial"/>
          <w:sz w:val="22"/>
          <w:szCs w:val="22"/>
        </w:rPr>
        <w:t>;</w:t>
      </w:r>
    </w:p>
    <w:p w14:paraId="6DE1DA36" w14:textId="77777777" w:rsidR="008C7D19" w:rsidRPr="00456A18" w:rsidRDefault="008C7D19" w:rsidP="00CA553E">
      <w:pPr>
        <w:pStyle w:val="Default"/>
        <w:numPr>
          <w:ilvl w:val="0"/>
          <w:numId w:val="6"/>
        </w:numPr>
        <w:spacing w:line="276" w:lineRule="auto"/>
        <w:jc w:val="both"/>
        <w:rPr>
          <w:rFonts w:ascii="Arial" w:hAnsi="Arial" w:cs="Arial"/>
          <w:sz w:val="22"/>
          <w:szCs w:val="22"/>
        </w:rPr>
      </w:pPr>
      <w:r w:rsidRPr="00456A18">
        <w:rPr>
          <w:rFonts w:ascii="Arial" w:hAnsi="Arial" w:cs="Arial"/>
          <w:sz w:val="22"/>
          <w:szCs w:val="22"/>
        </w:rPr>
        <w:t>Toute dépense liée à des activités encadrées par des règles budgétaires approuvées par le gouvernement du Québec;</w:t>
      </w:r>
    </w:p>
    <w:p w14:paraId="0C7D3345" w14:textId="77777777" w:rsidR="008C7D19" w:rsidRPr="00456A18" w:rsidRDefault="008C7D19" w:rsidP="00CA553E">
      <w:pPr>
        <w:pStyle w:val="Default"/>
        <w:numPr>
          <w:ilvl w:val="0"/>
          <w:numId w:val="6"/>
        </w:numPr>
        <w:spacing w:line="276" w:lineRule="auto"/>
        <w:jc w:val="both"/>
        <w:rPr>
          <w:rFonts w:ascii="Arial" w:hAnsi="Arial" w:cs="Arial"/>
          <w:sz w:val="22"/>
          <w:szCs w:val="22"/>
        </w:rPr>
      </w:pPr>
      <w:r w:rsidRPr="00456A18">
        <w:rPr>
          <w:rFonts w:ascii="Arial" w:hAnsi="Arial" w:cs="Arial"/>
          <w:sz w:val="22"/>
          <w:szCs w:val="22"/>
        </w:rPr>
        <w:t>Toute dépense effectuée auprès des entreprises inscrites au Registre des entreprises non admissibles aux contrats publics;</w:t>
      </w:r>
    </w:p>
    <w:p w14:paraId="3A24960A" w14:textId="77777777" w:rsidR="008C7D19" w:rsidRPr="00456A18" w:rsidRDefault="008C7D19" w:rsidP="00CA553E">
      <w:pPr>
        <w:pStyle w:val="Default"/>
        <w:numPr>
          <w:ilvl w:val="0"/>
          <w:numId w:val="6"/>
        </w:numPr>
        <w:spacing w:line="276" w:lineRule="auto"/>
        <w:jc w:val="both"/>
        <w:rPr>
          <w:rFonts w:ascii="Arial" w:hAnsi="Arial" w:cs="Arial"/>
          <w:sz w:val="22"/>
          <w:szCs w:val="22"/>
        </w:rPr>
      </w:pPr>
      <w:r w:rsidRPr="00456A18">
        <w:rPr>
          <w:rFonts w:ascii="Arial" w:hAnsi="Arial" w:cs="Arial"/>
          <w:sz w:val="22"/>
          <w:szCs w:val="22"/>
        </w:rPr>
        <w:t>Toute forme de prêt, de garantie de prêt, de prise de participation;</w:t>
      </w:r>
    </w:p>
    <w:p w14:paraId="289CCB69" w14:textId="0050FB6A" w:rsidR="008C7D19" w:rsidRDefault="008C7D19" w:rsidP="00CA553E">
      <w:pPr>
        <w:pStyle w:val="Default"/>
        <w:numPr>
          <w:ilvl w:val="0"/>
          <w:numId w:val="6"/>
        </w:numPr>
        <w:spacing w:line="276" w:lineRule="auto"/>
        <w:jc w:val="both"/>
        <w:rPr>
          <w:rFonts w:ascii="Arial" w:hAnsi="Arial" w:cs="Arial"/>
          <w:sz w:val="22"/>
          <w:szCs w:val="22"/>
        </w:rPr>
      </w:pPr>
      <w:r w:rsidRPr="00456A18">
        <w:rPr>
          <w:rFonts w:ascii="Arial" w:hAnsi="Arial" w:cs="Arial"/>
          <w:sz w:val="22"/>
          <w:szCs w:val="22"/>
        </w:rPr>
        <w:t>La portion remboursable des taxes.</w:t>
      </w:r>
    </w:p>
    <w:p w14:paraId="3DC9D41F" w14:textId="18C7E47C" w:rsidR="00CC451C" w:rsidRPr="00B82A1A" w:rsidRDefault="00CC451C" w:rsidP="00CA553E">
      <w:pPr>
        <w:pStyle w:val="Default"/>
        <w:numPr>
          <w:ilvl w:val="0"/>
          <w:numId w:val="6"/>
        </w:numPr>
        <w:spacing w:line="276" w:lineRule="auto"/>
        <w:jc w:val="both"/>
        <w:rPr>
          <w:rFonts w:ascii="Arial" w:hAnsi="Arial" w:cs="Arial"/>
          <w:color w:val="auto"/>
          <w:sz w:val="22"/>
          <w:szCs w:val="22"/>
        </w:rPr>
      </w:pPr>
      <w:r w:rsidRPr="00B82A1A">
        <w:rPr>
          <w:rFonts w:ascii="Arial" w:hAnsi="Arial" w:cs="Arial"/>
          <w:color w:val="auto"/>
          <w:sz w:val="22"/>
          <w:szCs w:val="22"/>
        </w:rPr>
        <w:t>Toute dépenses liées à l’achat d’équipement, la rénovation ou la construction de bâtiment de production servant à la production normale pour les entreprises du secteur primaire qui sont sous contingent soit (l’acériculture, la production laitière</w:t>
      </w:r>
      <w:r w:rsidR="00E64965" w:rsidRPr="00B82A1A">
        <w:rPr>
          <w:rFonts w:ascii="Arial" w:hAnsi="Arial" w:cs="Arial"/>
          <w:color w:val="auto"/>
          <w:sz w:val="22"/>
          <w:szCs w:val="22"/>
        </w:rPr>
        <w:t xml:space="preserve">, </w:t>
      </w:r>
      <w:r w:rsidR="0086407F" w:rsidRPr="00B82A1A">
        <w:rPr>
          <w:rFonts w:ascii="Arial" w:hAnsi="Arial" w:cs="Arial"/>
          <w:color w:val="auto"/>
          <w:sz w:val="22"/>
          <w:szCs w:val="22"/>
        </w:rPr>
        <w:t>la production d’œufs de consommation, la production de poulet, la production de dindon et la production d’œufs d</w:t>
      </w:r>
      <w:r w:rsidR="009C3AC9" w:rsidRPr="00B82A1A">
        <w:rPr>
          <w:rFonts w:ascii="Arial" w:hAnsi="Arial" w:cs="Arial"/>
          <w:color w:val="auto"/>
          <w:sz w:val="22"/>
          <w:szCs w:val="22"/>
        </w:rPr>
        <w:t>’</w:t>
      </w:r>
      <w:r w:rsidR="0086407F" w:rsidRPr="00B82A1A">
        <w:rPr>
          <w:rFonts w:ascii="Arial" w:hAnsi="Arial" w:cs="Arial"/>
          <w:color w:val="auto"/>
          <w:sz w:val="22"/>
          <w:szCs w:val="22"/>
        </w:rPr>
        <w:t>incubation</w:t>
      </w:r>
      <w:r w:rsidR="009C3AC9" w:rsidRPr="00B82A1A">
        <w:rPr>
          <w:rFonts w:ascii="Arial" w:hAnsi="Arial" w:cs="Arial"/>
          <w:color w:val="auto"/>
          <w:sz w:val="22"/>
          <w:szCs w:val="22"/>
        </w:rPr>
        <w:t>)</w:t>
      </w:r>
    </w:p>
    <w:p w14:paraId="22344374" w14:textId="77777777" w:rsidR="008C7D19" w:rsidRPr="00456A18" w:rsidRDefault="008C7D19" w:rsidP="00CA553E">
      <w:pPr>
        <w:pStyle w:val="Default"/>
        <w:spacing w:line="276" w:lineRule="auto"/>
        <w:jc w:val="both"/>
        <w:rPr>
          <w:rFonts w:ascii="Arial" w:hAnsi="Arial" w:cs="Arial"/>
          <w:sz w:val="22"/>
          <w:szCs w:val="22"/>
        </w:rPr>
      </w:pPr>
    </w:p>
    <w:p w14:paraId="4A0C777B" w14:textId="44C61D83" w:rsidR="00612BFF" w:rsidRPr="00456A18" w:rsidRDefault="008B66A3" w:rsidP="00E10044">
      <w:pPr>
        <w:pStyle w:val="Titre1"/>
        <w:rPr>
          <w:rFonts w:ascii="Arial" w:hAnsi="Arial" w:cs="Arial"/>
        </w:rPr>
      </w:pPr>
      <w:bookmarkStart w:id="19" w:name="_Toc66453630"/>
      <w:r w:rsidRPr="00456A18">
        <w:rPr>
          <w:rFonts w:ascii="Arial" w:hAnsi="Arial" w:cs="Arial"/>
        </w:rPr>
        <w:t>ADMISSIBILITÉ DES ORGANISMES À UN FINANCEMENT</w:t>
      </w:r>
      <w:bookmarkEnd w:id="19"/>
    </w:p>
    <w:p w14:paraId="5B508851" w14:textId="77777777" w:rsidR="003775E7" w:rsidRPr="00456A18" w:rsidRDefault="003775E7" w:rsidP="005A1687">
      <w:pPr>
        <w:spacing w:before="100" w:beforeAutospacing="1" w:after="240"/>
        <w:rPr>
          <w:rFonts w:ascii="Arial" w:eastAsia="Times New Roman" w:hAnsi="Arial" w:cs="Arial"/>
          <w:lang w:val="fr-FR" w:eastAsia="fr-CA"/>
        </w:rPr>
      </w:pPr>
      <w:r w:rsidRPr="00456A18">
        <w:rPr>
          <w:rFonts w:ascii="Arial" w:eastAsia="Times New Roman" w:hAnsi="Arial" w:cs="Arial"/>
          <w:lang w:val="fr-FR" w:eastAsia="fr-CA"/>
        </w:rPr>
        <w:t>Les organismes suivants peuvent recevoir une aide financière de la MRC en vertu du fonds Vitalisation :</w:t>
      </w:r>
    </w:p>
    <w:p w14:paraId="3B8A7513" w14:textId="77777777" w:rsidR="003775E7" w:rsidRPr="00456A18" w:rsidRDefault="003775E7" w:rsidP="003775E7">
      <w:pPr>
        <w:numPr>
          <w:ilvl w:val="0"/>
          <w:numId w:val="3"/>
        </w:numPr>
        <w:spacing w:before="100" w:beforeAutospacing="1" w:after="100" w:afterAutospacing="1"/>
        <w:jc w:val="both"/>
        <w:rPr>
          <w:rFonts w:ascii="Arial" w:hAnsi="Arial" w:cs="Arial"/>
          <w:color w:val="000000"/>
          <w:sz w:val="20"/>
          <w:szCs w:val="20"/>
        </w:rPr>
      </w:pPr>
      <w:r w:rsidRPr="00456A18">
        <w:rPr>
          <w:rFonts w:ascii="Arial" w:eastAsia="Times New Roman" w:hAnsi="Arial" w:cs="Arial"/>
          <w:lang w:val="fr-FR" w:eastAsia="fr-CA"/>
        </w:rPr>
        <w:t>Les organismes municipaux et les communautés autochtones ;</w:t>
      </w:r>
    </w:p>
    <w:p w14:paraId="49BA3816" w14:textId="77777777" w:rsidR="003775E7" w:rsidRPr="00456A18" w:rsidRDefault="003775E7" w:rsidP="003775E7">
      <w:pPr>
        <w:numPr>
          <w:ilvl w:val="0"/>
          <w:numId w:val="3"/>
        </w:numPr>
        <w:spacing w:before="100" w:beforeAutospacing="1" w:after="100" w:afterAutospacing="1"/>
        <w:jc w:val="both"/>
        <w:rPr>
          <w:rFonts w:ascii="Arial" w:hAnsi="Arial" w:cs="Arial"/>
          <w:color w:val="000000"/>
          <w:sz w:val="20"/>
          <w:szCs w:val="20"/>
        </w:rPr>
      </w:pPr>
      <w:r w:rsidRPr="00456A18">
        <w:rPr>
          <w:rFonts w:ascii="Arial" w:hAnsi="Arial" w:cs="Arial"/>
          <w:color w:val="000000"/>
          <w:sz w:val="20"/>
          <w:szCs w:val="20"/>
        </w:rPr>
        <w:t>Les entreprises privées et d’économie sociale, à l’exception des entreprises du secteur financier;</w:t>
      </w:r>
    </w:p>
    <w:p w14:paraId="08068A33" w14:textId="77777777" w:rsidR="003775E7" w:rsidRPr="00456A18" w:rsidRDefault="003775E7" w:rsidP="003775E7">
      <w:pPr>
        <w:numPr>
          <w:ilvl w:val="0"/>
          <w:numId w:val="3"/>
        </w:numPr>
        <w:spacing w:before="100" w:beforeAutospacing="1" w:after="100" w:afterAutospacing="1"/>
        <w:jc w:val="both"/>
        <w:rPr>
          <w:rFonts w:ascii="Arial" w:hAnsi="Arial" w:cs="Arial"/>
          <w:color w:val="000000"/>
          <w:sz w:val="20"/>
          <w:szCs w:val="20"/>
        </w:rPr>
      </w:pPr>
      <w:r w:rsidRPr="00456A18">
        <w:rPr>
          <w:rFonts w:ascii="Arial" w:hAnsi="Arial" w:cs="Arial"/>
          <w:color w:val="000000"/>
          <w:sz w:val="20"/>
          <w:szCs w:val="20"/>
        </w:rPr>
        <w:t>Les coopératives, à l’exception des coopératives du secteur financier;</w:t>
      </w:r>
    </w:p>
    <w:p w14:paraId="7DF070B5" w14:textId="77777777" w:rsidR="003775E7" w:rsidRPr="00456A18" w:rsidRDefault="003775E7" w:rsidP="003775E7">
      <w:pPr>
        <w:numPr>
          <w:ilvl w:val="0"/>
          <w:numId w:val="3"/>
        </w:numPr>
        <w:spacing w:before="100" w:beforeAutospacing="1" w:after="100" w:afterAutospacing="1"/>
        <w:jc w:val="both"/>
        <w:rPr>
          <w:rFonts w:ascii="Arial" w:hAnsi="Arial" w:cs="Arial"/>
          <w:color w:val="000000"/>
          <w:sz w:val="20"/>
          <w:szCs w:val="20"/>
        </w:rPr>
      </w:pPr>
      <w:r w:rsidRPr="00456A18">
        <w:rPr>
          <w:rFonts w:ascii="Arial" w:hAnsi="Arial" w:cs="Arial"/>
          <w:color w:val="000000"/>
          <w:sz w:val="20"/>
          <w:szCs w:val="20"/>
        </w:rPr>
        <w:t>Les organismes à but non lucratif;</w:t>
      </w:r>
    </w:p>
    <w:p w14:paraId="0C20DA13" w14:textId="77777777" w:rsidR="003775E7" w:rsidRPr="00456A18" w:rsidRDefault="003775E7" w:rsidP="003775E7">
      <w:pPr>
        <w:numPr>
          <w:ilvl w:val="0"/>
          <w:numId w:val="3"/>
        </w:numPr>
        <w:spacing w:before="100" w:beforeAutospacing="1" w:after="100" w:afterAutospacing="1"/>
        <w:jc w:val="both"/>
        <w:rPr>
          <w:rFonts w:ascii="Arial" w:hAnsi="Arial" w:cs="Arial"/>
          <w:color w:val="000000"/>
          <w:sz w:val="20"/>
          <w:szCs w:val="20"/>
        </w:rPr>
      </w:pPr>
      <w:r w:rsidRPr="00456A18">
        <w:rPr>
          <w:rFonts w:ascii="Arial" w:hAnsi="Arial" w:cs="Arial"/>
          <w:color w:val="000000"/>
          <w:sz w:val="20"/>
          <w:szCs w:val="20"/>
        </w:rPr>
        <w:t>Les organismes des réseaux du milieu de l’éducation;</w:t>
      </w:r>
    </w:p>
    <w:p w14:paraId="635ACA5D" w14:textId="77777777" w:rsidR="003775E7" w:rsidRPr="00456A18" w:rsidRDefault="003775E7" w:rsidP="003775E7">
      <w:pPr>
        <w:numPr>
          <w:ilvl w:val="0"/>
          <w:numId w:val="3"/>
        </w:numPr>
        <w:spacing w:before="100" w:beforeAutospacing="1" w:after="100" w:afterAutospacing="1"/>
        <w:jc w:val="both"/>
        <w:rPr>
          <w:rFonts w:ascii="Arial" w:hAnsi="Arial" w:cs="Arial"/>
          <w:color w:val="000000"/>
          <w:sz w:val="20"/>
          <w:szCs w:val="20"/>
        </w:rPr>
      </w:pPr>
      <w:r w:rsidRPr="00456A18">
        <w:rPr>
          <w:rFonts w:ascii="Arial" w:hAnsi="Arial" w:cs="Arial"/>
          <w:color w:val="000000"/>
          <w:sz w:val="20"/>
          <w:szCs w:val="20"/>
        </w:rPr>
        <w:t>Les personnes morales souhaitant démarrer une entreprise.</w:t>
      </w:r>
    </w:p>
    <w:p w14:paraId="2D124C38" w14:textId="77777777" w:rsidR="008C7D19" w:rsidRPr="00456A18" w:rsidRDefault="008C7D19" w:rsidP="00D55B38">
      <w:pPr>
        <w:pStyle w:val="Default"/>
        <w:spacing w:line="276" w:lineRule="auto"/>
        <w:rPr>
          <w:rFonts w:ascii="Arial" w:hAnsi="Arial" w:cs="Arial"/>
          <w:sz w:val="22"/>
          <w:szCs w:val="22"/>
        </w:rPr>
      </w:pPr>
      <w:r w:rsidRPr="00456A18">
        <w:rPr>
          <w:rFonts w:ascii="Arial" w:hAnsi="Arial" w:cs="Arial"/>
          <w:sz w:val="22"/>
          <w:szCs w:val="22"/>
        </w:rPr>
        <w:t xml:space="preserve">Les organismes inscrits au Registre des entreprises non admissibles aux contrats publics ne </w:t>
      </w:r>
      <w:r w:rsidR="00601BDD" w:rsidRPr="00456A18">
        <w:rPr>
          <w:rFonts w:ascii="Arial" w:hAnsi="Arial" w:cs="Arial"/>
          <w:sz w:val="22"/>
          <w:szCs w:val="22"/>
        </w:rPr>
        <w:t>peuvent</w:t>
      </w:r>
      <w:r w:rsidRPr="00456A18">
        <w:rPr>
          <w:rFonts w:ascii="Arial" w:hAnsi="Arial" w:cs="Arial"/>
          <w:sz w:val="22"/>
          <w:szCs w:val="22"/>
        </w:rPr>
        <w:t xml:space="preserve"> pas </w:t>
      </w:r>
      <w:r w:rsidR="00601BDD" w:rsidRPr="00456A18">
        <w:rPr>
          <w:rFonts w:ascii="Arial" w:hAnsi="Arial" w:cs="Arial"/>
          <w:sz w:val="22"/>
          <w:szCs w:val="22"/>
        </w:rPr>
        <w:t xml:space="preserve">recevoir de financement du </w:t>
      </w:r>
      <w:r w:rsidR="00271CB1" w:rsidRPr="00456A18">
        <w:rPr>
          <w:rFonts w:ascii="Arial" w:hAnsi="Arial" w:cs="Arial"/>
          <w:sz w:val="22"/>
          <w:szCs w:val="22"/>
        </w:rPr>
        <w:t>fonds</w:t>
      </w:r>
      <w:r w:rsidRPr="00456A18">
        <w:rPr>
          <w:rFonts w:ascii="Arial" w:hAnsi="Arial" w:cs="Arial"/>
          <w:sz w:val="22"/>
          <w:szCs w:val="22"/>
        </w:rPr>
        <w:t>.</w:t>
      </w:r>
    </w:p>
    <w:p w14:paraId="3153DBF0" w14:textId="7D175D75" w:rsidR="008C7D19" w:rsidRDefault="008C7D19" w:rsidP="00A57BCC">
      <w:pPr>
        <w:pStyle w:val="Default"/>
        <w:spacing w:line="276" w:lineRule="auto"/>
        <w:jc w:val="both"/>
        <w:rPr>
          <w:rFonts w:ascii="Arial" w:hAnsi="Arial" w:cs="Arial"/>
          <w:sz w:val="22"/>
          <w:szCs w:val="22"/>
        </w:rPr>
      </w:pPr>
    </w:p>
    <w:p w14:paraId="04693D68" w14:textId="77777777" w:rsidR="00836EE7" w:rsidRPr="00456A18" w:rsidRDefault="00836EE7" w:rsidP="00A57BCC">
      <w:pPr>
        <w:pStyle w:val="Default"/>
        <w:spacing w:line="276" w:lineRule="auto"/>
        <w:jc w:val="both"/>
        <w:rPr>
          <w:rFonts w:ascii="Arial" w:hAnsi="Arial" w:cs="Arial"/>
          <w:sz w:val="22"/>
          <w:szCs w:val="22"/>
        </w:rPr>
      </w:pPr>
    </w:p>
    <w:p w14:paraId="79295DED" w14:textId="62FEC552" w:rsidR="00AC1D8A" w:rsidRPr="00456A18" w:rsidRDefault="008B66A3" w:rsidP="00E10044">
      <w:pPr>
        <w:pStyle w:val="Titre1"/>
        <w:rPr>
          <w:rFonts w:ascii="Arial" w:hAnsi="Arial" w:cs="Arial"/>
        </w:rPr>
      </w:pPr>
      <w:bookmarkStart w:id="20" w:name="_Toc66453631"/>
      <w:r w:rsidRPr="00456A18">
        <w:rPr>
          <w:rFonts w:ascii="Arial" w:hAnsi="Arial" w:cs="Arial"/>
        </w:rPr>
        <w:t>CRITÈRES DE SÉLECTION</w:t>
      </w:r>
      <w:bookmarkEnd w:id="20"/>
    </w:p>
    <w:p w14:paraId="7AF89DDF" w14:textId="74F6BCBC" w:rsidR="00622654" w:rsidRPr="00456A18" w:rsidRDefault="00267D4C" w:rsidP="002E56F2">
      <w:pPr>
        <w:spacing w:before="100" w:beforeAutospacing="1" w:after="240"/>
        <w:rPr>
          <w:rFonts w:ascii="Arial" w:eastAsia="Times New Roman" w:hAnsi="Arial" w:cs="Arial"/>
          <w:lang w:val="fr-FR" w:eastAsia="fr-CA"/>
        </w:rPr>
      </w:pPr>
      <w:r w:rsidRPr="00456A18">
        <w:rPr>
          <w:rFonts w:ascii="Arial" w:eastAsia="Times New Roman" w:hAnsi="Arial" w:cs="Arial"/>
          <w:lang w:val="fr-FR" w:eastAsia="fr-CA"/>
        </w:rPr>
        <w:t>De façon générale, sont admissibles les projets qui respectent les critères suivants :</w:t>
      </w:r>
    </w:p>
    <w:p w14:paraId="3BBB8895" w14:textId="1007168B" w:rsidR="00267D4C" w:rsidRPr="00456A18" w:rsidRDefault="00267D4C" w:rsidP="003A6335">
      <w:pPr>
        <w:numPr>
          <w:ilvl w:val="0"/>
          <w:numId w:val="4"/>
        </w:numPr>
        <w:spacing w:before="100" w:beforeAutospacing="1" w:after="120"/>
        <w:ind w:left="375"/>
        <w:jc w:val="both"/>
        <w:rPr>
          <w:rFonts w:ascii="Arial" w:eastAsia="Times New Roman" w:hAnsi="Arial" w:cs="Arial"/>
          <w:lang w:val="fr-FR" w:eastAsia="fr-CA"/>
        </w:rPr>
      </w:pPr>
      <w:r w:rsidRPr="00456A18">
        <w:rPr>
          <w:rFonts w:ascii="Arial" w:eastAsia="Times New Roman" w:hAnsi="Arial" w:cs="Arial"/>
          <w:lang w:val="fr-FR" w:eastAsia="fr-CA"/>
        </w:rPr>
        <w:t xml:space="preserve">Le projet doit </w:t>
      </w:r>
      <w:r w:rsidR="00AC2DB8" w:rsidRPr="00456A18">
        <w:rPr>
          <w:rFonts w:ascii="Arial" w:eastAsia="Times New Roman" w:hAnsi="Arial" w:cs="Arial"/>
          <w:lang w:val="fr-FR" w:eastAsia="fr-CA"/>
        </w:rPr>
        <w:t xml:space="preserve">se faire en concordance avec le plan de vitalisation et s’inscrire dans un des </w:t>
      </w:r>
      <w:r w:rsidR="00867BDD" w:rsidRPr="00456A18">
        <w:rPr>
          <w:rFonts w:ascii="Arial" w:eastAsia="Times New Roman" w:hAnsi="Arial" w:cs="Arial"/>
          <w:lang w:val="fr-FR" w:eastAsia="fr-CA"/>
        </w:rPr>
        <w:t>axes de vitalisation</w:t>
      </w:r>
      <w:r w:rsidRPr="00456A18">
        <w:rPr>
          <w:rFonts w:ascii="Arial" w:eastAsia="Times New Roman" w:hAnsi="Arial" w:cs="Arial"/>
          <w:lang w:val="fr-FR" w:eastAsia="fr-CA"/>
        </w:rPr>
        <w:t>.</w:t>
      </w:r>
    </w:p>
    <w:p w14:paraId="24738DCE" w14:textId="2427358F" w:rsidR="00267D4C" w:rsidRPr="00456A18" w:rsidRDefault="00267D4C" w:rsidP="003A6335">
      <w:pPr>
        <w:numPr>
          <w:ilvl w:val="0"/>
          <w:numId w:val="4"/>
        </w:numPr>
        <w:spacing w:before="100" w:beforeAutospacing="1" w:after="120"/>
        <w:ind w:left="375"/>
        <w:jc w:val="both"/>
        <w:rPr>
          <w:rFonts w:ascii="Arial" w:eastAsia="Times New Roman" w:hAnsi="Arial" w:cs="Arial"/>
          <w:lang w:val="fr-FR" w:eastAsia="fr-CA"/>
        </w:rPr>
      </w:pPr>
      <w:r w:rsidRPr="00456A18">
        <w:rPr>
          <w:rFonts w:ascii="Arial" w:eastAsia="Times New Roman" w:hAnsi="Arial" w:cs="Arial"/>
          <w:lang w:val="fr-FR" w:eastAsia="fr-CA"/>
        </w:rPr>
        <w:t xml:space="preserve">Le projet doit idéalement avoir un impact </w:t>
      </w:r>
      <w:r w:rsidR="006E7B6E" w:rsidRPr="00456A18">
        <w:rPr>
          <w:rFonts w:ascii="Arial" w:eastAsia="Times New Roman" w:hAnsi="Arial" w:cs="Arial"/>
          <w:lang w:val="fr-FR" w:eastAsia="fr-CA"/>
        </w:rPr>
        <w:t>concret sur le</w:t>
      </w:r>
      <w:r w:rsidR="00155ECE" w:rsidRPr="00456A18">
        <w:rPr>
          <w:rFonts w:ascii="Arial" w:eastAsia="Times New Roman" w:hAnsi="Arial" w:cs="Arial"/>
          <w:lang w:val="fr-FR" w:eastAsia="fr-CA"/>
        </w:rPr>
        <w:t xml:space="preserve"> </w:t>
      </w:r>
      <w:r w:rsidR="00321C36" w:rsidRPr="00456A18">
        <w:rPr>
          <w:rFonts w:ascii="Arial" w:eastAsia="Times New Roman" w:hAnsi="Arial" w:cs="Arial"/>
          <w:lang w:val="fr-FR" w:eastAsia="fr-CA"/>
        </w:rPr>
        <w:t>milieu.</w:t>
      </w:r>
    </w:p>
    <w:p w14:paraId="0013CADE" w14:textId="425B730A" w:rsidR="00267D4C" w:rsidRPr="00456A18" w:rsidRDefault="00267D4C" w:rsidP="003A6335">
      <w:pPr>
        <w:numPr>
          <w:ilvl w:val="0"/>
          <w:numId w:val="4"/>
        </w:numPr>
        <w:spacing w:before="100" w:beforeAutospacing="1" w:after="120"/>
        <w:ind w:left="375"/>
        <w:jc w:val="both"/>
        <w:rPr>
          <w:rFonts w:ascii="Arial" w:eastAsia="Times New Roman" w:hAnsi="Arial" w:cs="Arial"/>
          <w:lang w:val="fr-FR" w:eastAsia="fr-CA"/>
        </w:rPr>
      </w:pPr>
      <w:r w:rsidRPr="00456A18">
        <w:rPr>
          <w:rFonts w:ascii="Arial" w:eastAsia="Times New Roman" w:hAnsi="Arial" w:cs="Arial"/>
          <w:lang w:val="fr-FR" w:eastAsia="fr-CA"/>
        </w:rPr>
        <w:t>L'</w:t>
      </w:r>
      <w:r w:rsidR="00AC2DB8" w:rsidRPr="00456A18">
        <w:rPr>
          <w:rFonts w:ascii="Arial" w:eastAsia="Times New Roman" w:hAnsi="Arial" w:cs="Arial"/>
          <w:lang w:val="fr-FR" w:eastAsia="fr-CA"/>
        </w:rPr>
        <w:t>effe</w:t>
      </w:r>
      <w:r w:rsidRPr="00456A18">
        <w:rPr>
          <w:rFonts w:ascii="Arial" w:eastAsia="Times New Roman" w:hAnsi="Arial" w:cs="Arial"/>
          <w:lang w:val="fr-FR" w:eastAsia="fr-CA"/>
        </w:rPr>
        <w:t>t</w:t>
      </w:r>
      <w:r w:rsidR="00AC2DB8" w:rsidRPr="00456A18">
        <w:rPr>
          <w:rFonts w:ascii="Arial" w:eastAsia="Times New Roman" w:hAnsi="Arial" w:cs="Arial"/>
          <w:lang w:val="fr-FR" w:eastAsia="fr-CA"/>
        </w:rPr>
        <w:t xml:space="preserve"> positif</w:t>
      </w:r>
      <w:r w:rsidRPr="00456A18">
        <w:rPr>
          <w:rFonts w:ascii="Arial" w:eastAsia="Times New Roman" w:hAnsi="Arial" w:cs="Arial"/>
          <w:lang w:val="fr-FR" w:eastAsia="fr-CA"/>
        </w:rPr>
        <w:t xml:space="preserve"> sur l'emploi</w:t>
      </w:r>
      <w:r w:rsidR="00F86BBB" w:rsidRPr="00456A18">
        <w:rPr>
          <w:rFonts w:ascii="Arial" w:eastAsia="Times New Roman" w:hAnsi="Arial" w:cs="Arial"/>
          <w:lang w:val="fr-FR" w:eastAsia="fr-CA"/>
        </w:rPr>
        <w:t xml:space="preserve">, </w:t>
      </w:r>
      <w:r w:rsidRPr="00456A18">
        <w:rPr>
          <w:rFonts w:ascii="Arial" w:eastAsia="Times New Roman" w:hAnsi="Arial" w:cs="Arial"/>
          <w:lang w:val="fr-FR" w:eastAsia="fr-CA"/>
        </w:rPr>
        <w:t xml:space="preserve">sur l'activité économique régionale </w:t>
      </w:r>
      <w:r w:rsidR="00F86BBB" w:rsidRPr="00456A18">
        <w:rPr>
          <w:rFonts w:ascii="Arial" w:eastAsia="Times New Roman" w:hAnsi="Arial" w:cs="Arial"/>
          <w:lang w:val="fr-FR" w:eastAsia="fr-CA"/>
        </w:rPr>
        <w:t xml:space="preserve">et la vitalisation du territoire </w:t>
      </w:r>
      <w:r w:rsidRPr="00456A18">
        <w:rPr>
          <w:rFonts w:ascii="Arial" w:eastAsia="Times New Roman" w:hAnsi="Arial" w:cs="Arial"/>
          <w:lang w:val="fr-FR" w:eastAsia="fr-CA"/>
        </w:rPr>
        <w:t>doit</w:t>
      </w:r>
      <w:r w:rsidR="00FE7EE0" w:rsidRPr="00456A18">
        <w:rPr>
          <w:rFonts w:ascii="Arial" w:eastAsia="Times New Roman" w:hAnsi="Arial" w:cs="Arial"/>
          <w:lang w:val="fr-FR" w:eastAsia="fr-CA"/>
        </w:rPr>
        <w:t xml:space="preserve"> idéalement </w:t>
      </w:r>
      <w:r w:rsidRPr="00456A18">
        <w:rPr>
          <w:rFonts w:ascii="Arial" w:eastAsia="Times New Roman" w:hAnsi="Arial" w:cs="Arial"/>
          <w:lang w:val="fr-FR" w:eastAsia="fr-CA"/>
        </w:rPr>
        <w:t xml:space="preserve">être démontré dans une perspective de </w:t>
      </w:r>
      <w:proofErr w:type="gramStart"/>
      <w:r w:rsidRPr="00456A18">
        <w:rPr>
          <w:rFonts w:ascii="Arial" w:eastAsia="Times New Roman" w:hAnsi="Arial" w:cs="Arial"/>
          <w:lang w:val="fr-FR" w:eastAsia="fr-CA"/>
        </w:rPr>
        <w:t>court</w:t>
      </w:r>
      <w:r w:rsidR="00321C36" w:rsidRPr="00456A18">
        <w:rPr>
          <w:rFonts w:ascii="Arial" w:eastAsia="Times New Roman" w:hAnsi="Arial" w:cs="Arial"/>
          <w:lang w:val="fr-FR" w:eastAsia="fr-CA"/>
        </w:rPr>
        <w:t xml:space="preserve"> et </w:t>
      </w:r>
      <w:r w:rsidRPr="00456A18">
        <w:rPr>
          <w:rFonts w:ascii="Arial" w:eastAsia="Times New Roman" w:hAnsi="Arial" w:cs="Arial"/>
          <w:lang w:val="fr-FR" w:eastAsia="fr-CA"/>
        </w:rPr>
        <w:t>moyen termes</w:t>
      </w:r>
      <w:proofErr w:type="gramEnd"/>
      <w:r w:rsidRPr="00456A18">
        <w:rPr>
          <w:rFonts w:ascii="Arial" w:eastAsia="Times New Roman" w:hAnsi="Arial" w:cs="Arial"/>
          <w:lang w:val="fr-FR" w:eastAsia="fr-CA"/>
        </w:rPr>
        <w:t>.</w:t>
      </w:r>
    </w:p>
    <w:p w14:paraId="2D82C358" w14:textId="7F85B0B7" w:rsidR="00267D4C" w:rsidRPr="00456A18" w:rsidRDefault="00267D4C" w:rsidP="003A6335">
      <w:pPr>
        <w:numPr>
          <w:ilvl w:val="0"/>
          <w:numId w:val="4"/>
        </w:numPr>
        <w:spacing w:before="100" w:beforeAutospacing="1" w:after="120"/>
        <w:ind w:left="375"/>
        <w:jc w:val="both"/>
        <w:rPr>
          <w:rFonts w:ascii="Arial" w:eastAsia="Times New Roman" w:hAnsi="Arial" w:cs="Arial"/>
          <w:lang w:val="fr-FR" w:eastAsia="fr-CA"/>
        </w:rPr>
      </w:pPr>
      <w:r w:rsidRPr="00456A18">
        <w:rPr>
          <w:rFonts w:ascii="Arial" w:eastAsia="Times New Roman" w:hAnsi="Arial" w:cs="Arial"/>
          <w:lang w:val="fr-FR" w:eastAsia="fr-CA"/>
        </w:rPr>
        <w:t xml:space="preserve">La </w:t>
      </w:r>
      <w:r w:rsidR="00F86BBB" w:rsidRPr="00456A18">
        <w:rPr>
          <w:rFonts w:ascii="Arial" w:eastAsia="Times New Roman" w:hAnsi="Arial" w:cs="Arial"/>
          <w:lang w:val="fr-FR" w:eastAsia="fr-CA"/>
        </w:rPr>
        <w:t>viabilité financière</w:t>
      </w:r>
      <w:r w:rsidRPr="00456A18">
        <w:rPr>
          <w:rFonts w:ascii="Arial" w:eastAsia="Times New Roman" w:hAnsi="Arial" w:cs="Arial"/>
          <w:lang w:val="fr-FR" w:eastAsia="fr-CA"/>
        </w:rPr>
        <w:t xml:space="preserve"> du projet </w:t>
      </w:r>
      <w:r w:rsidR="004A0530" w:rsidRPr="00456A18">
        <w:rPr>
          <w:rFonts w:ascii="Arial" w:eastAsia="Times New Roman" w:hAnsi="Arial" w:cs="Arial"/>
          <w:lang w:val="fr-FR" w:eastAsia="fr-CA"/>
        </w:rPr>
        <w:t xml:space="preserve">est une cible à atteindre </w:t>
      </w:r>
      <w:r w:rsidR="00AC2DB8" w:rsidRPr="00456A18">
        <w:rPr>
          <w:rFonts w:ascii="Arial" w:eastAsia="Times New Roman" w:hAnsi="Arial" w:cs="Arial"/>
          <w:lang w:val="fr-FR" w:eastAsia="fr-CA"/>
        </w:rPr>
        <w:t>et</w:t>
      </w:r>
      <w:r w:rsidR="00236443" w:rsidRPr="00456A18">
        <w:rPr>
          <w:rFonts w:ascii="Arial" w:eastAsia="Times New Roman" w:hAnsi="Arial" w:cs="Arial"/>
          <w:lang w:val="fr-FR" w:eastAsia="fr-CA"/>
        </w:rPr>
        <w:t xml:space="preserve"> </w:t>
      </w:r>
      <w:r w:rsidR="004F7C34" w:rsidRPr="00456A18">
        <w:rPr>
          <w:rFonts w:ascii="Arial" w:eastAsia="Times New Roman" w:hAnsi="Arial" w:cs="Arial"/>
          <w:lang w:val="fr-FR" w:eastAsia="fr-CA"/>
        </w:rPr>
        <w:t xml:space="preserve">les documents déposés en appui à la demande doivent démontrer que </w:t>
      </w:r>
      <w:r w:rsidR="00400E5A" w:rsidRPr="00456A18">
        <w:rPr>
          <w:rFonts w:ascii="Arial" w:eastAsia="Times New Roman" w:hAnsi="Arial" w:cs="Arial"/>
          <w:lang w:val="fr-FR" w:eastAsia="fr-CA"/>
        </w:rPr>
        <w:t xml:space="preserve">le promoteur tend vers cet objectif.  Par exemple, </w:t>
      </w:r>
      <w:r w:rsidR="00AC2DB8" w:rsidRPr="00456A18">
        <w:rPr>
          <w:rFonts w:ascii="Arial" w:eastAsia="Times New Roman" w:hAnsi="Arial" w:cs="Arial"/>
          <w:lang w:val="fr-FR" w:eastAsia="fr-CA"/>
        </w:rPr>
        <w:t>le réalisme des coûts anticipés, la contribution des partenaires impliqués</w:t>
      </w:r>
      <w:r w:rsidR="00F86BBB" w:rsidRPr="00456A18">
        <w:rPr>
          <w:rFonts w:ascii="Arial" w:eastAsia="Times New Roman" w:hAnsi="Arial" w:cs="Arial"/>
          <w:lang w:val="fr-FR" w:eastAsia="fr-CA"/>
        </w:rPr>
        <w:t xml:space="preserve"> et </w:t>
      </w:r>
      <w:r w:rsidR="00A80B67" w:rsidRPr="00456A18">
        <w:rPr>
          <w:rFonts w:ascii="Arial" w:eastAsia="Times New Roman" w:hAnsi="Arial" w:cs="Arial"/>
          <w:lang w:val="fr-FR" w:eastAsia="fr-CA"/>
        </w:rPr>
        <w:t>les</w:t>
      </w:r>
      <w:r w:rsidR="00F86BBB" w:rsidRPr="00456A18">
        <w:rPr>
          <w:rFonts w:ascii="Arial" w:eastAsia="Times New Roman" w:hAnsi="Arial" w:cs="Arial"/>
          <w:lang w:val="fr-FR" w:eastAsia="fr-CA"/>
        </w:rPr>
        <w:t xml:space="preserve"> programmes gouvernementaux applicables</w:t>
      </w:r>
      <w:r w:rsidR="00A80B67" w:rsidRPr="00456A18">
        <w:rPr>
          <w:rFonts w:ascii="Arial" w:eastAsia="Times New Roman" w:hAnsi="Arial" w:cs="Arial"/>
          <w:lang w:val="fr-FR" w:eastAsia="fr-CA"/>
        </w:rPr>
        <w:t xml:space="preserve"> étoffent la présentation et </w:t>
      </w:r>
      <w:r w:rsidR="00466EA6" w:rsidRPr="00456A18">
        <w:rPr>
          <w:rFonts w:ascii="Arial" w:eastAsia="Times New Roman" w:hAnsi="Arial" w:cs="Arial"/>
          <w:lang w:val="fr-FR" w:eastAsia="fr-CA"/>
        </w:rPr>
        <w:t>nous rassurent sur la pérennité de nos investissements</w:t>
      </w:r>
      <w:r w:rsidR="00F86BBB" w:rsidRPr="00456A18">
        <w:rPr>
          <w:rFonts w:ascii="Arial" w:eastAsia="Times New Roman" w:hAnsi="Arial" w:cs="Arial"/>
          <w:lang w:val="fr-FR" w:eastAsia="fr-CA"/>
        </w:rPr>
        <w:t xml:space="preserve">. La demande </w:t>
      </w:r>
      <w:r w:rsidR="00CE29DA" w:rsidRPr="00456A18">
        <w:rPr>
          <w:rFonts w:ascii="Arial" w:eastAsia="Times New Roman" w:hAnsi="Arial" w:cs="Arial"/>
          <w:lang w:val="fr-FR" w:eastAsia="fr-CA"/>
        </w:rPr>
        <w:t xml:space="preserve">devrait </w:t>
      </w:r>
      <w:r w:rsidR="00F86BBB" w:rsidRPr="00456A18">
        <w:rPr>
          <w:rFonts w:ascii="Arial" w:eastAsia="Times New Roman" w:hAnsi="Arial" w:cs="Arial"/>
          <w:lang w:val="fr-FR" w:eastAsia="fr-CA"/>
        </w:rPr>
        <w:t>joindre les confirmations de contribution incluses dans le montage du projet</w:t>
      </w:r>
      <w:r w:rsidRPr="00456A18">
        <w:rPr>
          <w:rFonts w:ascii="Arial" w:eastAsia="Times New Roman" w:hAnsi="Arial" w:cs="Arial"/>
          <w:lang w:val="fr-FR" w:eastAsia="fr-CA"/>
        </w:rPr>
        <w:t>.</w:t>
      </w:r>
      <w:r w:rsidR="00F86BBB" w:rsidRPr="00456A18">
        <w:rPr>
          <w:rFonts w:ascii="Arial" w:eastAsia="Times New Roman" w:hAnsi="Arial" w:cs="Arial"/>
          <w:lang w:val="fr-FR" w:eastAsia="fr-CA"/>
        </w:rPr>
        <w:t xml:space="preserve"> </w:t>
      </w:r>
    </w:p>
    <w:p w14:paraId="0C8CE09B" w14:textId="77777777" w:rsidR="00AC1D8A" w:rsidRPr="00456A18" w:rsidRDefault="00F86BBB" w:rsidP="003A6335">
      <w:pPr>
        <w:numPr>
          <w:ilvl w:val="0"/>
          <w:numId w:val="4"/>
        </w:numPr>
        <w:spacing w:before="100" w:beforeAutospacing="1" w:after="120"/>
        <w:ind w:left="375"/>
        <w:jc w:val="both"/>
        <w:rPr>
          <w:rFonts w:ascii="Arial" w:hAnsi="Arial" w:cs="Arial"/>
          <w:b/>
          <w:bCs/>
          <w:i/>
          <w:iCs/>
          <w:u w:val="single"/>
          <w:lang w:val="fr-FR"/>
        </w:rPr>
      </w:pPr>
      <w:r w:rsidRPr="00456A18">
        <w:rPr>
          <w:rFonts w:ascii="Arial" w:eastAsia="Times New Roman" w:hAnsi="Arial" w:cs="Arial"/>
          <w:lang w:val="fr-FR" w:eastAsia="fr-CA"/>
        </w:rPr>
        <w:t>La qualité du plan de réalisation du projet, qui comprend notamment les liens probants entre les étapes, les activités, les ressources mobilisées et les cibles visées.</w:t>
      </w:r>
    </w:p>
    <w:p w14:paraId="13914F36" w14:textId="77777777" w:rsidR="00F86BBB" w:rsidRPr="00456A18" w:rsidRDefault="00F86BBB" w:rsidP="003A6335">
      <w:pPr>
        <w:numPr>
          <w:ilvl w:val="0"/>
          <w:numId w:val="4"/>
        </w:numPr>
        <w:spacing w:before="100" w:beforeAutospacing="1" w:after="120"/>
        <w:ind w:left="375"/>
        <w:jc w:val="both"/>
        <w:rPr>
          <w:rFonts w:ascii="Arial" w:hAnsi="Arial" w:cs="Arial"/>
          <w:b/>
          <w:bCs/>
          <w:i/>
          <w:iCs/>
          <w:u w:val="single"/>
          <w:lang w:val="fr-FR"/>
        </w:rPr>
      </w:pPr>
      <w:r w:rsidRPr="00456A18">
        <w:rPr>
          <w:rFonts w:ascii="Arial" w:eastAsia="Times New Roman" w:hAnsi="Arial" w:cs="Arial"/>
          <w:lang w:val="fr-FR" w:eastAsia="fr-CA"/>
        </w:rPr>
        <w:t>La qualité de la structure de gouvernance, en établissant clairement les relations entre les partenaires, les modes de décision établis, l’expérience et la formation du directeur de projet et de l’équipe de réalisation.</w:t>
      </w:r>
    </w:p>
    <w:p w14:paraId="1E88E09D" w14:textId="268935F1" w:rsidR="00AC1D8A" w:rsidRDefault="008B66A3" w:rsidP="003A6335">
      <w:pPr>
        <w:pStyle w:val="Titre1"/>
        <w:jc w:val="both"/>
        <w:rPr>
          <w:rFonts w:ascii="Arial" w:hAnsi="Arial" w:cs="Arial"/>
        </w:rPr>
      </w:pPr>
      <w:bookmarkStart w:id="21" w:name="_Toc66453632"/>
      <w:r w:rsidRPr="00456A18">
        <w:rPr>
          <w:rFonts w:ascii="Arial" w:hAnsi="Arial" w:cs="Arial"/>
        </w:rPr>
        <w:t>TAUX ET SEUILS D’AIDE APPLICABLES</w:t>
      </w:r>
      <w:bookmarkEnd w:id="21"/>
    </w:p>
    <w:p w14:paraId="78E72B0D" w14:textId="77777777" w:rsidR="008B66A3" w:rsidRPr="008B66A3" w:rsidRDefault="008B66A3" w:rsidP="008B66A3"/>
    <w:p w14:paraId="041DBC62" w14:textId="06702EA0" w:rsidR="007817EB" w:rsidRPr="00456A18" w:rsidRDefault="007817EB" w:rsidP="003A6335">
      <w:pPr>
        <w:jc w:val="both"/>
        <w:rPr>
          <w:rFonts w:ascii="Arial" w:hAnsi="Arial" w:cs="Arial"/>
        </w:rPr>
      </w:pPr>
      <w:r w:rsidRPr="00456A18">
        <w:rPr>
          <w:rFonts w:ascii="Arial" w:hAnsi="Arial" w:cs="Arial"/>
        </w:rPr>
        <w:t>Les projets présentés au fonds de vitalisation de la MRC de Témiscouata peuvent obtenir un financement non remboursable de 20,000$ à 1</w:t>
      </w:r>
      <w:r w:rsidR="007227C5" w:rsidRPr="00456A18">
        <w:rPr>
          <w:rFonts w:ascii="Arial" w:hAnsi="Arial" w:cs="Arial"/>
        </w:rPr>
        <w:t>00</w:t>
      </w:r>
      <w:r w:rsidRPr="00456A18">
        <w:rPr>
          <w:rFonts w:ascii="Arial" w:hAnsi="Arial" w:cs="Arial"/>
        </w:rPr>
        <w:t>,000$.</w:t>
      </w:r>
      <w:r w:rsidR="007227C5" w:rsidRPr="00456A18">
        <w:rPr>
          <w:rFonts w:ascii="Arial" w:hAnsi="Arial" w:cs="Arial"/>
        </w:rPr>
        <w:t xml:space="preserve"> </w:t>
      </w:r>
      <w:r w:rsidR="004E58ED" w:rsidRPr="00456A18">
        <w:rPr>
          <w:rFonts w:ascii="Arial" w:hAnsi="Arial" w:cs="Arial"/>
        </w:rPr>
        <w:t>Un même organisme et ses filiales ne peu</w:t>
      </w:r>
      <w:r w:rsidR="00A17D6D">
        <w:rPr>
          <w:rFonts w:ascii="Arial" w:hAnsi="Arial" w:cs="Arial"/>
        </w:rPr>
        <w:t>ven</w:t>
      </w:r>
      <w:r w:rsidR="004E58ED" w:rsidRPr="00456A18">
        <w:rPr>
          <w:rFonts w:ascii="Arial" w:hAnsi="Arial" w:cs="Arial"/>
        </w:rPr>
        <w:t>t obtenir plus de 100 000$ pour un même projet et le financement ne peut être récurrent.</w:t>
      </w:r>
    </w:p>
    <w:p w14:paraId="03D0AACF" w14:textId="4C4E9356" w:rsidR="007817EB" w:rsidRPr="00456A18" w:rsidRDefault="007817EB" w:rsidP="003A6335">
      <w:pPr>
        <w:jc w:val="both"/>
        <w:rPr>
          <w:rFonts w:ascii="Arial" w:hAnsi="Arial" w:cs="Arial"/>
        </w:rPr>
      </w:pPr>
      <w:r w:rsidRPr="00456A18">
        <w:rPr>
          <w:rFonts w:ascii="Arial" w:hAnsi="Arial" w:cs="Arial"/>
        </w:rPr>
        <w:t xml:space="preserve">Les promoteurs municipaux, à but non lucratif et les entreprises d’économie sociale doivent apporter une mise de fonds équivalant à </w:t>
      </w:r>
      <w:r w:rsidR="007227C5" w:rsidRPr="00456A18">
        <w:rPr>
          <w:rFonts w:ascii="Arial" w:hAnsi="Arial" w:cs="Arial"/>
        </w:rPr>
        <w:t>1</w:t>
      </w:r>
      <w:r w:rsidRPr="00456A18">
        <w:rPr>
          <w:rFonts w:ascii="Arial" w:hAnsi="Arial" w:cs="Arial"/>
        </w:rPr>
        <w:t>0% du coût du projet</w:t>
      </w:r>
      <w:r w:rsidR="009C28D7" w:rsidRPr="00456A18">
        <w:rPr>
          <w:rFonts w:ascii="Arial" w:hAnsi="Arial" w:cs="Arial"/>
        </w:rPr>
        <w:t xml:space="preserve"> dans les municipalités Q5</w:t>
      </w:r>
      <w:r w:rsidR="00850ED9" w:rsidRPr="00456A18">
        <w:rPr>
          <w:rFonts w:ascii="Arial" w:hAnsi="Arial" w:cs="Arial"/>
        </w:rPr>
        <w:t xml:space="preserve">, à 20% dans les municipalités Q4, à 30% </w:t>
      </w:r>
      <w:r w:rsidR="004F3448" w:rsidRPr="00456A18">
        <w:rPr>
          <w:rFonts w:ascii="Arial" w:hAnsi="Arial" w:cs="Arial"/>
        </w:rPr>
        <w:t>dans les autres municipalités</w:t>
      </w:r>
      <w:r w:rsidRPr="00456A18">
        <w:rPr>
          <w:rFonts w:ascii="Arial" w:hAnsi="Arial" w:cs="Arial"/>
        </w:rPr>
        <w:t xml:space="preserve">. Cette mise de fonds peut être financée en tout ou en partie par un autre fonds de développement de la MRC, selon les conditions applicables. </w:t>
      </w:r>
    </w:p>
    <w:p w14:paraId="77358B4E" w14:textId="7D771FF5" w:rsidR="00AC1D8A" w:rsidRPr="00456A18" w:rsidRDefault="007817EB" w:rsidP="003A6335">
      <w:pPr>
        <w:jc w:val="both"/>
        <w:rPr>
          <w:rFonts w:ascii="Arial" w:hAnsi="Arial" w:cs="Arial"/>
          <w:color w:val="000000" w:themeColor="text1"/>
        </w:rPr>
      </w:pPr>
      <w:r w:rsidRPr="00456A18">
        <w:rPr>
          <w:rFonts w:ascii="Arial" w:hAnsi="Arial" w:cs="Arial"/>
        </w:rPr>
        <w:t xml:space="preserve">Les entreprises privées sont </w:t>
      </w:r>
      <w:r w:rsidR="007227C5" w:rsidRPr="00456A18">
        <w:rPr>
          <w:rFonts w:ascii="Arial" w:hAnsi="Arial" w:cs="Arial"/>
        </w:rPr>
        <w:t xml:space="preserve">quant à elles </w:t>
      </w:r>
      <w:r w:rsidRPr="00456A18">
        <w:rPr>
          <w:rFonts w:ascii="Arial" w:hAnsi="Arial" w:cs="Arial"/>
        </w:rPr>
        <w:t xml:space="preserve">admissibles à un financement maximal de 50% du coût du projet, </w:t>
      </w:r>
      <w:r w:rsidR="00DA2349" w:rsidRPr="00456A18">
        <w:rPr>
          <w:rFonts w:ascii="Arial" w:hAnsi="Arial" w:cs="Arial"/>
          <w:color w:val="000000" w:themeColor="text1"/>
        </w:rPr>
        <w:t xml:space="preserve">jusqu’au maximum ci-dessus mentionné, </w:t>
      </w:r>
      <w:r w:rsidRPr="00456A18">
        <w:rPr>
          <w:rFonts w:ascii="Arial" w:hAnsi="Arial" w:cs="Arial"/>
          <w:color w:val="000000" w:themeColor="text1"/>
        </w:rPr>
        <w:t>en excluant les apports en nature (ex : travail des employés, valeur estimée d’un brevet ou d’une marque, investissements passés à être reconnu</w:t>
      </w:r>
      <w:r w:rsidR="00806E12" w:rsidRPr="00456A18">
        <w:rPr>
          <w:rFonts w:ascii="Arial" w:hAnsi="Arial" w:cs="Arial"/>
          <w:color w:val="000000" w:themeColor="text1"/>
        </w:rPr>
        <w:t>s</w:t>
      </w:r>
      <w:r w:rsidRPr="00456A18">
        <w:rPr>
          <w:rFonts w:ascii="Arial" w:hAnsi="Arial" w:cs="Arial"/>
          <w:color w:val="000000" w:themeColor="text1"/>
        </w:rPr>
        <w:t xml:space="preserve"> comme étant une part d’équité, etc.).</w:t>
      </w:r>
    </w:p>
    <w:p w14:paraId="5C2E33CF" w14:textId="77777777" w:rsidR="003E4172" w:rsidRPr="008B66A3" w:rsidRDefault="00E102BA" w:rsidP="003A6335">
      <w:pPr>
        <w:pStyle w:val="Titre2"/>
        <w:jc w:val="both"/>
        <w:rPr>
          <w:rFonts w:ascii="Arial" w:hAnsi="Arial" w:cs="Arial"/>
          <w:sz w:val="24"/>
          <w:szCs w:val="24"/>
        </w:rPr>
      </w:pPr>
      <w:bookmarkStart w:id="22" w:name="_Toc66453633"/>
      <w:r w:rsidRPr="008B66A3">
        <w:rPr>
          <w:rFonts w:ascii="Arial" w:hAnsi="Arial" w:cs="Arial"/>
          <w:sz w:val="24"/>
          <w:szCs w:val="24"/>
        </w:rPr>
        <w:lastRenderedPageBreak/>
        <w:t>Cumul des aides</w:t>
      </w:r>
      <w:bookmarkEnd w:id="22"/>
      <w:r w:rsidRPr="008B66A3">
        <w:rPr>
          <w:rFonts w:ascii="Arial" w:hAnsi="Arial" w:cs="Arial"/>
          <w:sz w:val="24"/>
          <w:szCs w:val="24"/>
        </w:rPr>
        <w:t xml:space="preserve"> </w:t>
      </w:r>
    </w:p>
    <w:p w14:paraId="73866B6E" w14:textId="77777777" w:rsidR="00E102BA" w:rsidRPr="00456A18" w:rsidRDefault="00E102BA" w:rsidP="003A6335">
      <w:pPr>
        <w:jc w:val="both"/>
        <w:rPr>
          <w:rFonts w:ascii="Arial" w:hAnsi="Arial" w:cs="Arial"/>
        </w:rPr>
      </w:pPr>
      <w:r w:rsidRPr="00456A18">
        <w:rPr>
          <w:rFonts w:ascii="Arial" w:hAnsi="Arial" w:cs="Arial"/>
        </w:rPr>
        <w:t xml:space="preserve">Le cumul des aides, le cas échéant, </w:t>
      </w:r>
      <w:r w:rsidR="00733B29" w:rsidRPr="00456A18">
        <w:rPr>
          <w:rFonts w:ascii="Arial" w:hAnsi="Arial" w:cs="Arial"/>
        </w:rPr>
        <w:t xml:space="preserve">pour la réalisation d’un projet provenant directement ou indirectement des ministères ou organismes gouvernementaux </w:t>
      </w:r>
      <w:r w:rsidR="00AB0EAD" w:rsidRPr="00456A18">
        <w:rPr>
          <w:rFonts w:ascii="Arial" w:hAnsi="Arial" w:cs="Arial"/>
        </w:rPr>
        <w:t>fédéraux et provinciaux, de leurs sociétés d’État et des entités municipales</w:t>
      </w:r>
      <w:r w:rsidR="00582F1D" w:rsidRPr="00456A18">
        <w:rPr>
          <w:rFonts w:ascii="Arial" w:hAnsi="Arial" w:cs="Arial"/>
        </w:rPr>
        <w:t xml:space="preserve">, soit les organismes compris à l’article 5 de la Loi sur l’accès </w:t>
      </w:r>
      <w:r w:rsidR="00E542A4" w:rsidRPr="00456A18">
        <w:rPr>
          <w:rFonts w:ascii="Arial" w:hAnsi="Arial" w:cs="Arial"/>
        </w:rPr>
        <w:t>aux documents des organismes publics et sur la protection des renseignements personnels</w:t>
      </w:r>
      <w:r w:rsidR="00B875B0" w:rsidRPr="00456A18">
        <w:rPr>
          <w:rFonts w:ascii="Arial" w:hAnsi="Arial" w:cs="Arial"/>
        </w:rPr>
        <w:t>, ne pourra dépasser ces mêmes taux.</w:t>
      </w:r>
    </w:p>
    <w:p w14:paraId="06D455FF" w14:textId="77777777" w:rsidR="000D7AFF" w:rsidRPr="00456A18" w:rsidRDefault="000D7AFF" w:rsidP="003A6335">
      <w:pPr>
        <w:jc w:val="both"/>
        <w:rPr>
          <w:rFonts w:ascii="Arial" w:hAnsi="Arial" w:cs="Arial"/>
        </w:rPr>
      </w:pPr>
      <w:r w:rsidRPr="00456A18">
        <w:rPr>
          <w:rFonts w:ascii="Arial" w:hAnsi="Arial" w:cs="Arial"/>
        </w:rPr>
        <w:t xml:space="preserve">L’aide financière octroyée </w:t>
      </w:r>
      <w:r w:rsidR="00385C62" w:rsidRPr="00456A18">
        <w:rPr>
          <w:rFonts w:ascii="Arial" w:hAnsi="Arial" w:cs="Arial"/>
        </w:rPr>
        <w:t>pour la réalisation d’un projet doit respecter, le cas échéant</w:t>
      </w:r>
      <w:r w:rsidR="0089382C" w:rsidRPr="00456A18">
        <w:rPr>
          <w:rFonts w:ascii="Arial" w:hAnsi="Arial" w:cs="Arial"/>
        </w:rPr>
        <w:t>, les règles de cumul de tout autre programme gouvernemental contribuant au montage financier.</w:t>
      </w:r>
    </w:p>
    <w:p w14:paraId="1AF3D501" w14:textId="77777777" w:rsidR="00125583" w:rsidRPr="008B66A3" w:rsidRDefault="005B60F5" w:rsidP="003A6335">
      <w:pPr>
        <w:pStyle w:val="Titre2"/>
        <w:jc w:val="both"/>
        <w:rPr>
          <w:rFonts w:ascii="Arial" w:hAnsi="Arial" w:cs="Arial"/>
          <w:sz w:val="24"/>
          <w:szCs w:val="24"/>
        </w:rPr>
      </w:pPr>
      <w:bookmarkStart w:id="23" w:name="_Toc66453634"/>
      <w:r w:rsidRPr="008B66A3">
        <w:rPr>
          <w:rFonts w:ascii="Arial" w:hAnsi="Arial" w:cs="Arial"/>
          <w:sz w:val="24"/>
          <w:szCs w:val="24"/>
        </w:rPr>
        <w:t>Règles spécifiques aux travaux de construction</w:t>
      </w:r>
      <w:bookmarkEnd w:id="23"/>
      <w:r w:rsidRPr="008B66A3">
        <w:rPr>
          <w:rFonts w:ascii="Arial" w:hAnsi="Arial" w:cs="Arial"/>
          <w:sz w:val="24"/>
          <w:szCs w:val="24"/>
        </w:rPr>
        <w:t xml:space="preserve"> </w:t>
      </w:r>
    </w:p>
    <w:p w14:paraId="173F5824" w14:textId="77777777" w:rsidR="005B60F5" w:rsidRPr="00456A18" w:rsidRDefault="00BA777B" w:rsidP="003A6335">
      <w:pPr>
        <w:jc w:val="both"/>
        <w:rPr>
          <w:rFonts w:ascii="Arial" w:hAnsi="Arial" w:cs="Arial"/>
        </w:rPr>
      </w:pPr>
      <w:r w:rsidRPr="00456A18">
        <w:rPr>
          <w:rFonts w:ascii="Arial" w:hAnsi="Arial" w:cs="Arial"/>
        </w:rPr>
        <w:t xml:space="preserve">Lorsque le projet vise à financer </w:t>
      </w:r>
      <w:r w:rsidR="00C172F2" w:rsidRPr="00456A18">
        <w:rPr>
          <w:rFonts w:ascii="Arial" w:hAnsi="Arial" w:cs="Arial"/>
        </w:rPr>
        <w:t xml:space="preserve">l’exécution de travaux de construction confiés à un tiers, le bénéficiaire </w:t>
      </w:r>
      <w:r w:rsidR="00AA1E23" w:rsidRPr="00456A18">
        <w:rPr>
          <w:rFonts w:ascii="Arial" w:hAnsi="Arial" w:cs="Arial"/>
        </w:rPr>
        <w:t xml:space="preserve">admissible à une aide financière, à l’exception d’une entreprise privée, doit </w:t>
      </w:r>
      <w:r w:rsidR="00641B2C" w:rsidRPr="00456A18">
        <w:rPr>
          <w:rFonts w:ascii="Arial" w:hAnsi="Arial" w:cs="Arial"/>
        </w:rPr>
        <w:t>suivre les dispositions prévues à la Loi sur les contrats des organismes publics.</w:t>
      </w:r>
    </w:p>
    <w:p w14:paraId="74250935" w14:textId="77777777" w:rsidR="00994FA8" w:rsidRPr="00456A18" w:rsidRDefault="00994FA8" w:rsidP="003A6335">
      <w:pPr>
        <w:jc w:val="both"/>
        <w:rPr>
          <w:rFonts w:ascii="Arial" w:hAnsi="Arial" w:cs="Arial"/>
        </w:rPr>
      </w:pPr>
      <w:r w:rsidRPr="00456A18">
        <w:rPr>
          <w:rFonts w:ascii="Arial" w:hAnsi="Arial" w:cs="Arial"/>
        </w:rPr>
        <w:t xml:space="preserve">Pour les organismes municipaux, les organismes du milieu de l’éducation ou les organismes mandatés </w:t>
      </w:r>
      <w:r w:rsidR="00E3570F" w:rsidRPr="00456A18">
        <w:rPr>
          <w:rFonts w:ascii="Arial" w:hAnsi="Arial" w:cs="Arial"/>
        </w:rPr>
        <w:t xml:space="preserve">par le milieu municipal, les contrats par appels d’offres publics </w:t>
      </w:r>
      <w:r w:rsidR="00761214" w:rsidRPr="00456A18">
        <w:rPr>
          <w:rFonts w:ascii="Arial" w:hAnsi="Arial" w:cs="Arial"/>
        </w:rPr>
        <w:t>doivent être ouverts aux accords de libéralisation.</w:t>
      </w:r>
    </w:p>
    <w:p w14:paraId="4BDF35EE" w14:textId="77777777" w:rsidR="00761214" w:rsidRPr="00456A18" w:rsidRDefault="00761214" w:rsidP="003A6335">
      <w:pPr>
        <w:jc w:val="both"/>
        <w:rPr>
          <w:rFonts w:ascii="Arial" w:hAnsi="Arial" w:cs="Arial"/>
        </w:rPr>
      </w:pPr>
      <w:r w:rsidRPr="00456A18">
        <w:rPr>
          <w:rFonts w:ascii="Arial" w:hAnsi="Arial" w:cs="Arial"/>
        </w:rPr>
        <w:t>Un appel d’offres n’est pas requis</w:t>
      </w:r>
      <w:r w:rsidR="00710969" w:rsidRPr="00456A18">
        <w:rPr>
          <w:rFonts w:ascii="Arial" w:hAnsi="Arial" w:cs="Arial"/>
        </w:rPr>
        <w:t>, sur l’avis de la ministre des Affaires municipales, lorsque, en raison d’une situation d’urgence, où</w:t>
      </w:r>
      <w:r w:rsidR="00CE5D8D" w:rsidRPr="00456A18">
        <w:rPr>
          <w:rFonts w:ascii="Arial" w:hAnsi="Arial" w:cs="Arial"/>
        </w:rPr>
        <w:t xml:space="preserve"> la sécurité des personnes ou des biens est en cause ou lorsqu’un seul contractant </w:t>
      </w:r>
      <w:r w:rsidR="00F66AB2" w:rsidRPr="00456A18">
        <w:rPr>
          <w:rFonts w:ascii="Arial" w:hAnsi="Arial" w:cs="Arial"/>
        </w:rPr>
        <w:t>est possible en raison d’une garantie, d’un droit de propriété ou d’un droit exclusif.</w:t>
      </w:r>
    </w:p>
    <w:p w14:paraId="4D24D915" w14:textId="77777777" w:rsidR="00125583" w:rsidRPr="00456A18" w:rsidRDefault="00B760D5" w:rsidP="003A6335">
      <w:pPr>
        <w:jc w:val="both"/>
        <w:rPr>
          <w:rFonts w:ascii="Arial" w:hAnsi="Arial" w:cs="Arial"/>
        </w:rPr>
      </w:pPr>
      <w:r w:rsidRPr="00456A18">
        <w:rPr>
          <w:rFonts w:ascii="Arial" w:hAnsi="Arial" w:cs="Arial"/>
        </w:rPr>
        <w:t xml:space="preserve">Lorsque </w:t>
      </w:r>
      <w:r w:rsidR="003D1B30" w:rsidRPr="00456A18">
        <w:rPr>
          <w:rFonts w:ascii="Arial" w:hAnsi="Arial" w:cs="Arial"/>
        </w:rPr>
        <w:t xml:space="preserve">les règles d’adjudication des contrats de construction d’un organisme admissible </w:t>
      </w:r>
      <w:r w:rsidR="0070554F" w:rsidRPr="00456A18">
        <w:rPr>
          <w:rFonts w:ascii="Arial" w:hAnsi="Arial" w:cs="Arial"/>
        </w:rPr>
        <w:t>au programme sont plus restrictives que les présentes règles, l’organisme doit appliquer ses propres règles.</w:t>
      </w:r>
    </w:p>
    <w:p w14:paraId="19A8CA81" w14:textId="47FC29EB" w:rsidR="00AC1D8A" w:rsidRPr="00456A18" w:rsidRDefault="008B66A3" w:rsidP="00B95704">
      <w:pPr>
        <w:pStyle w:val="Titre1"/>
        <w:spacing w:before="0" w:line="480" w:lineRule="auto"/>
        <w:jc w:val="both"/>
        <w:rPr>
          <w:rFonts w:ascii="Arial" w:hAnsi="Arial" w:cs="Arial"/>
        </w:rPr>
      </w:pPr>
      <w:bookmarkStart w:id="24" w:name="_Toc66453635"/>
      <w:r w:rsidRPr="00456A18">
        <w:rPr>
          <w:rFonts w:ascii="Arial" w:hAnsi="Arial" w:cs="Arial"/>
        </w:rPr>
        <w:t>GOUVERNANCE DU FONDS</w:t>
      </w:r>
      <w:bookmarkEnd w:id="24"/>
    </w:p>
    <w:p w14:paraId="7B6D8276" w14:textId="260E7EEF" w:rsidR="002327E0" w:rsidRPr="00456A18" w:rsidRDefault="007817EB" w:rsidP="00B95704">
      <w:pPr>
        <w:spacing w:after="0" w:line="240" w:lineRule="auto"/>
        <w:jc w:val="both"/>
        <w:rPr>
          <w:rFonts w:ascii="Arial" w:hAnsi="Arial" w:cs="Arial"/>
        </w:rPr>
      </w:pPr>
      <w:r w:rsidRPr="00456A18">
        <w:rPr>
          <w:rFonts w:ascii="Arial" w:hAnsi="Arial" w:cs="Arial"/>
        </w:rPr>
        <w:t>Les demandes au fonds de vitalisation de la MRC de Témiscouata doivent</w:t>
      </w:r>
      <w:r w:rsidR="004450FB">
        <w:rPr>
          <w:rFonts w:ascii="Arial" w:hAnsi="Arial" w:cs="Arial"/>
        </w:rPr>
        <w:t xml:space="preserve"> être déposées </w:t>
      </w:r>
      <w:r w:rsidR="004450FB" w:rsidRPr="005828A8">
        <w:rPr>
          <w:rFonts w:ascii="Arial" w:hAnsi="Arial" w:cs="Arial"/>
          <w:b/>
          <w:bCs/>
          <w:u w:val="single"/>
        </w:rPr>
        <w:t>au plus tard le dernier jour du mois précédant la date de prochain comité de vitalisation</w:t>
      </w:r>
      <w:r w:rsidR="004450FB">
        <w:rPr>
          <w:rFonts w:ascii="Arial" w:hAnsi="Arial" w:cs="Arial"/>
        </w:rPr>
        <w:t xml:space="preserve">, </w:t>
      </w:r>
      <w:r w:rsidRPr="00456A18">
        <w:rPr>
          <w:rFonts w:ascii="Arial" w:hAnsi="Arial" w:cs="Arial"/>
        </w:rPr>
        <w:t xml:space="preserve">être faites sur le formulaire </w:t>
      </w:r>
      <w:r w:rsidR="002327E0" w:rsidRPr="00456A18">
        <w:rPr>
          <w:rFonts w:ascii="Arial" w:hAnsi="Arial" w:cs="Arial"/>
        </w:rPr>
        <w:t>officiel et comprendre tous les documents demandés au dépôt. Il est possible que des informations complémentaires soient demandées en cours d’analyse, en fonction des besoins et des questionnements qui pourraient survenir.</w:t>
      </w:r>
    </w:p>
    <w:p w14:paraId="1558B9F0" w14:textId="77777777" w:rsidR="00B95704" w:rsidRDefault="00B95704" w:rsidP="00B95704">
      <w:pPr>
        <w:spacing w:after="0" w:line="240" w:lineRule="auto"/>
        <w:jc w:val="both"/>
        <w:rPr>
          <w:rFonts w:ascii="Arial" w:hAnsi="Arial" w:cs="Arial"/>
        </w:rPr>
      </w:pPr>
    </w:p>
    <w:p w14:paraId="3332F3A3" w14:textId="2C11A00C" w:rsidR="002327E0" w:rsidRDefault="007C7ACC" w:rsidP="00B95704">
      <w:pPr>
        <w:spacing w:after="0" w:line="240" w:lineRule="auto"/>
        <w:jc w:val="both"/>
        <w:rPr>
          <w:rFonts w:ascii="Arial" w:hAnsi="Arial" w:cs="Arial"/>
        </w:rPr>
      </w:pPr>
      <w:r w:rsidRPr="00456A18">
        <w:rPr>
          <w:rFonts w:ascii="Arial" w:hAnsi="Arial" w:cs="Arial"/>
        </w:rPr>
        <w:t xml:space="preserve">Les </w:t>
      </w:r>
      <w:r w:rsidR="00E64F2A" w:rsidRPr="00456A18">
        <w:rPr>
          <w:rFonts w:ascii="Arial" w:hAnsi="Arial" w:cs="Arial"/>
        </w:rPr>
        <w:t>projets sont reçus en continu à la MRC</w:t>
      </w:r>
      <w:r w:rsidR="00310B98" w:rsidRPr="00456A18">
        <w:rPr>
          <w:rFonts w:ascii="Arial" w:hAnsi="Arial" w:cs="Arial"/>
        </w:rPr>
        <w:t>, jusqu’à épuisement des fonds. Toutefois, le conseil peut engager des sommes de l’année suivante</w:t>
      </w:r>
      <w:r w:rsidR="00993969" w:rsidRPr="00456A18">
        <w:rPr>
          <w:rFonts w:ascii="Arial" w:hAnsi="Arial" w:cs="Arial"/>
        </w:rPr>
        <w:t>, sous réserve que ces fonds soient effectivement disponibles.</w:t>
      </w:r>
    </w:p>
    <w:p w14:paraId="3B35C96C" w14:textId="77777777" w:rsidR="0057486E" w:rsidRPr="00456A18" w:rsidRDefault="0057486E" w:rsidP="00B95704">
      <w:pPr>
        <w:spacing w:after="0" w:line="240" w:lineRule="auto"/>
        <w:jc w:val="both"/>
        <w:rPr>
          <w:rFonts w:ascii="Arial" w:hAnsi="Arial" w:cs="Arial"/>
        </w:rPr>
      </w:pPr>
    </w:p>
    <w:p w14:paraId="6A81736B" w14:textId="44E85661" w:rsidR="00F86BBB" w:rsidRPr="00456A18" w:rsidRDefault="002327E0" w:rsidP="003A6335">
      <w:pPr>
        <w:jc w:val="both"/>
        <w:rPr>
          <w:rFonts w:ascii="Arial" w:hAnsi="Arial" w:cs="Arial"/>
        </w:rPr>
      </w:pPr>
      <w:r w:rsidRPr="00456A18">
        <w:rPr>
          <w:rFonts w:ascii="Arial" w:hAnsi="Arial" w:cs="Arial"/>
        </w:rPr>
        <w:t xml:space="preserve">Les demandes sont analysées par l’équipe du </w:t>
      </w:r>
      <w:r w:rsidR="00CA553E">
        <w:rPr>
          <w:rFonts w:ascii="Arial" w:hAnsi="Arial" w:cs="Arial"/>
        </w:rPr>
        <w:t>S</w:t>
      </w:r>
      <w:r w:rsidRPr="00456A18">
        <w:rPr>
          <w:rFonts w:ascii="Arial" w:hAnsi="Arial" w:cs="Arial"/>
        </w:rPr>
        <w:t xml:space="preserve">ervice de développement de la MRC qui soumet une recommandation au comité de vitalisation. Ce dernier analyse </w:t>
      </w:r>
      <w:r w:rsidR="0010176B" w:rsidRPr="00456A18">
        <w:rPr>
          <w:rFonts w:ascii="Arial" w:hAnsi="Arial" w:cs="Arial"/>
        </w:rPr>
        <w:t xml:space="preserve">tous </w:t>
      </w:r>
      <w:r w:rsidRPr="00456A18">
        <w:rPr>
          <w:rFonts w:ascii="Arial" w:hAnsi="Arial" w:cs="Arial"/>
        </w:rPr>
        <w:t>les dossiers et fait une recommandation au</w:t>
      </w:r>
      <w:r w:rsidR="004450FB">
        <w:rPr>
          <w:rFonts w:ascii="Arial" w:hAnsi="Arial" w:cs="Arial"/>
        </w:rPr>
        <w:t xml:space="preserve"> </w:t>
      </w:r>
      <w:r w:rsidR="009C3AC9" w:rsidRPr="004450FB">
        <w:rPr>
          <w:rFonts w:ascii="Arial" w:hAnsi="Arial" w:cs="Arial"/>
        </w:rPr>
        <w:t xml:space="preserve">comité administratif </w:t>
      </w:r>
      <w:r w:rsidRPr="00456A18">
        <w:rPr>
          <w:rFonts w:ascii="Arial" w:hAnsi="Arial" w:cs="Arial"/>
        </w:rPr>
        <w:t>de la MRC pour prise de décision. Le</w:t>
      </w:r>
      <w:r w:rsidR="00F86BBB" w:rsidRPr="00456A18">
        <w:rPr>
          <w:rFonts w:ascii="Arial" w:hAnsi="Arial" w:cs="Arial"/>
        </w:rPr>
        <w:t>s sommes allouées par la MRC peuvent être soumises à des conditions qui seront clairement énoncées dans la résolution qui confirme l’engagement.</w:t>
      </w:r>
    </w:p>
    <w:p w14:paraId="0335CC7B" w14:textId="1FDDBE41" w:rsidR="00AC1D8A" w:rsidRPr="00456A18" w:rsidRDefault="008B66A3" w:rsidP="00B95704">
      <w:pPr>
        <w:pStyle w:val="Titre1"/>
        <w:spacing w:before="0" w:line="240" w:lineRule="auto"/>
        <w:jc w:val="both"/>
        <w:rPr>
          <w:rFonts w:ascii="Arial" w:hAnsi="Arial" w:cs="Arial"/>
        </w:rPr>
      </w:pPr>
      <w:bookmarkStart w:id="25" w:name="_Toc66453636"/>
      <w:r w:rsidRPr="00456A18">
        <w:rPr>
          <w:rFonts w:ascii="Arial" w:hAnsi="Arial" w:cs="Arial"/>
        </w:rPr>
        <w:lastRenderedPageBreak/>
        <w:t>INDICATEURS DE SUIVI</w:t>
      </w:r>
      <w:bookmarkEnd w:id="25"/>
    </w:p>
    <w:p w14:paraId="04CC67E3" w14:textId="77777777" w:rsidR="00B95704" w:rsidRDefault="00B95704" w:rsidP="00B95704">
      <w:pPr>
        <w:spacing w:after="0" w:line="240" w:lineRule="auto"/>
        <w:jc w:val="both"/>
        <w:rPr>
          <w:rFonts w:ascii="Arial" w:hAnsi="Arial" w:cs="Arial"/>
        </w:rPr>
      </w:pPr>
    </w:p>
    <w:p w14:paraId="68A4E598" w14:textId="7FBA92CD" w:rsidR="004054D4" w:rsidRDefault="00FD01D0" w:rsidP="00B95704">
      <w:pPr>
        <w:spacing w:after="0" w:line="240" w:lineRule="auto"/>
        <w:jc w:val="both"/>
        <w:rPr>
          <w:rFonts w:ascii="Arial" w:hAnsi="Arial" w:cs="Arial"/>
        </w:rPr>
      </w:pPr>
      <w:r w:rsidRPr="00456A18">
        <w:rPr>
          <w:rFonts w:ascii="Arial" w:hAnsi="Arial" w:cs="Arial"/>
        </w:rPr>
        <w:t xml:space="preserve">À titre indicatif, le </w:t>
      </w:r>
      <w:r w:rsidR="00CA553E">
        <w:rPr>
          <w:rFonts w:ascii="Arial" w:hAnsi="Arial" w:cs="Arial"/>
        </w:rPr>
        <w:t>S</w:t>
      </w:r>
      <w:r w:rsidRPr="00456A18">
        <w:rPr>
          <w:rFonts w:ascii="Arial" w:hAnsi="Arial" w:cs="Arial"/>
        </w:rPr>
        <w:t xml:space="preserve">ervice de développement de la MRC tiendra </w:t>
      </w:r>
      <w:r w:rsidR="00B255B1" w:rsidRPr="00456A18">
        <w:rPr>
          <w:rFonts w:ascii="Arial" w:hAnsi="Arial" w:cs="Arial"/>
        </w:rPr>
        <w:t xml:space="preserve">à jour </w:t>
      </w:r>
      <w:r w:rsidRPr="00456A18">
        <w:rPr>
          <w:rFonts w:ascii="Arial" w:hAnsi="Arial" w:cs="Arial"/>
        </w:rPr>
        <w:t xml:space="preserve">des </w:t>
      </w:r>
      <w:r w:rsidR="00B255B1" w:rsidRPr="00456A18">
        <w:rPr>
          <w:rFonts w:ascii="Arial" w:hAnsi="Arial" w:cs="Arial"/>
        </w:rPr>
        <w:t>indicateurs généraux qui seront présentés une fois par année au conseil</w:t>
      </w:r>
      <w:r w:rsidR="009E4806" w:rsidRPr="00456A18">
        <w:rPr>
          <w:rFonts w:ascii="Arial" w:hAnsi="Arial" w:cs="Arial"/>
        </w:rPr>
        <w:t xml:space="preserve">, en même temps que la reddition de comptes au ministère. </w:t>
      </w:r>
      <w:r w:rsidR="00242B9D" w:rsidRPr="00456A18">
        <w:rPr>
          <w:rFonts w:ascii="Arial" w:hAnsi="Arial" w:cs="Arial"/>
        </w:rPr>
        <w:t>Ainsi, le</w:t>
      </w:r>
      <w:r w:rsidR="002A04D4" w:rsidRPr="00456A18">
        <w:rPr>
          <w:rFonts w:ascii="Arial" w:hAnsi="Arial" w:cs="Arial"/>
        </w:rPr>
        <w:t>s élus seront</w:t>
      </w:r>
      <w:r w:rsidR="00242B9D" w:rsidRPr="00456A18">
        <w:rPr>
          <w:rFonts w:ascii="Arial" w:hAnsi="Arial" w:cs="Arial"/>
        </w:rPr>
        <w:t xml:space="preserve"> informé</w:t>
      </w:r>
      <w:r w:rsidR="002A04D4" w:rsidRPr="00456A18">
        <w:rPr>
          <w:rFonts w:ascii="Arial" w:hAnsi="Arial" w:cs="Arial"/>
        </w:rPr>
        <w:t xml:space="preserve">s </w:t>
      </w:r>
      <w:r w:rsidR="00242B9D" w:rsidRPr="00456A18">
        <w:rPr>
          <w:rFonts w:ascii="Arial" w:hAnsi="Arial" w:cs="Arial"/>
        </w:rPr>
        <w:t xml:space="preserve">des </w:t>
      </w:r>
      <w:r w:rsidR="002A04D4" w:rsidRPr="00456A18">
        <w:rPr>
          <w:rFonts w:ascii="Arial" w:hAnsi="Arial" w:cs="Arial"/>
        </w:rPr>
        <w:t xml:space="preserve">projets, des grandes tendances et ils pourront </w:t>
      </w:r>
      <w:r w:rsidR="00AD560D" w:rsidRPr="00456A18">
        <w:rPr>
          <w:rFonts w:ascii="Arial" w:hAnsi="Arial" w:cs="Arial"/>
        </w:rPr>
        <w:t>revoir le cadre au besoin.</w:t>
      </w:r>
    </w:p>
    <w:p w14:paraId="1D10D9BD" w14:textId="30BA1EF8" w:rsidR="00AB11F8" w:rsidRDefault="00AB11F8" w:rsidP="003A6335">
      <w:pPr>
        <w:jc w:val="both"/>
        <w:rPr>
          <w:rFonts w:ascii="Arial" w:hAnsi="Arial" w:cs="Arial"/>
        </w:rPr>
      </w:pPr>
    </w:p>
    <w:p w14:paraId="41F240C8" w14:textId="18C214CE" w:rsidR="00C11872" w:rsidRPr="00456A18" w:rsidRDefault="00C11872" w:rsidP="003A6335">
      <w:pPr>
        <w:pStyle w:val="Paragraphedeliste"/>
        <w:numPr>
          <w:ilvl w:val="0"/>
          <w:numId w:val="8"/>
        </w:numPr>
        <w:jc w:val="both"/>
        <w:rPr>
          <w:rFonts w:ascii="Arial" w:hAnsi="Arial" w:cs="Arial"/>
        </w:rPr>
      </w:pPr>
      <w:r w:rsidRPr="00456A18">
        <w:rPr>
          <w:rFonts w:ascii="Arial" w:hAnsi="Arial" w:cs="Arial"/>
        </w:rPr>
        <w:t xml:space="preserve">Évolution des sous indicateurs de l’indice de vitalité économique, par </w:t>
      </w:r>
      <w:r w:rsidR="002939FF" w:rsidRPr="00456A18">
        <w:rPr>
          <w:rFonts w:ascii="Arial" w:hAnsi="Arial" w:cs="Arial"/>
        </w:rPr>
        <w:t xml:space="preserve">municipalité </w:t>
      </w:r>
    </w:p>
    <w:p w14:paraId="05AC180C" w14:textId="6D431125" w:rsidR="00AC1D8A" w:rsidRPr="00456A18" w:rsidRDefault="00712310" w:rsidP="003A6335">
      <w:pPr>
        <w:pStyle w:val="Paragraphedeliste"/>
        <w:numPr>
          <w:ilvl w:val="0"/>
          <w:numId w:val="8"/>
        </w:numPr>
        <w:jc w:val="both"/>
        <w:rPr>
          <w:rFonts w:ascii="Arial" w:hAnsi="Arial" w:cs="Arial"/>
        </w:rPr>
      </w:pPr>
      <w:r w:rsidRPr="00456A18">
        <w:rPr>
          <w:rFonts w:ascii="Arial" w:hAnsi="Arial" w:cs="Arial"/>
        </w:rPr>
        <w:t>Proportion</w:t>
      </w:r>
      <w:r w:rsidR="0080361F" w:rsidRPr="00456A18">
        <w:rPr>
          <w:rFonts w:ascii="Arial" w:hAnsi="Arial" w:cs="Arial"/>
        </w:rPr>
        <w:t xml:space="preserve"> du financement</w:t>
      </w:r>
      <w:r w:rsidRPr="00456A18">
        <w:rPr>
          <w:rFonts w:ascii="Arial" w:hAnsi="Arial" w:cs="Arial"/>
        </w:rPr>
        <w:t xml:space="preserve"> de projets dans les Q5</w:t>
      </w:r>
      <w:r w:rsidR="0080361F" w:rsidRPr="00456A18">
        <w:rPr>
          <w:rFonts w:ascii="Arial" w:hAnsi="Arial" w:cs="Arial"/>
        </w:rPr>
        <w:t xml:space="preserve"> / budget annuel du </w:t>
      </w:r>
      <w:r w:rsidR="00CA553E">
        <w:rPr>
          <w:rFonts w:ascii="Arial" w:hAnsi="Arial" w:cs="Arial"/>
        </w:rPr>
        <w:t>F</w:t>
      </w:r>
      <w:r w:rsidR="0080361F" w:rsidRPr="00456A18">
        <w:rPr>
          <w:rFonts w:ascii="Arial" w:hAnsi="Arial" w:cs="Arial"/>
        </w:rPr>
        <w:t>onds vitalisation</w:t>
      </w:r>
    </w:p>
    <w:p w14:paraId="3623313E" w14:textId="77777777" w:rsidR="0080361F" w:rsidRPr="00456A18" w:rsidRDefault="00C41ECF" w:rsidP="003A6335">
      <w:pPr>
        <w:pStyle w:val="Paragraphedeliste"/>
        <w:numPr>
          <w:ilvl w:val="0"/>
          <w:numId w:val="8"/>
        </w:numPr>
        <w:jc w:val="both"/>
        <w:rPr>
          <w:rFonts w:ascii="Arial" w:hAnsi="Arial" w:cs="Arial"/>
        </w:rPr>
      </w:pPr>
      <w:r w:rsidRPr="00456A18">
        <w:rPr>
          <w:rFonts w:ascii="Arial" w:hAnsi="Arial" w:cs="Arial"/>
        </w:rPr>
        <w:t>Sommes investi</w:t>
      </w:r>
      <w:r w:rsidR="00AF6206" w:rsidRPr="00456A18">
        <w:rPr>
          <w:rFonts w:ascii="Arial" w:hAnsi="Arial" w:cs="Arial"/>
        </w:rPr>
        <w:t>es</w:t>
      </w:r>
      <w:r w:rsidRPr="00456A18">
        <w:rPr>
          <w:rFonts w:ascii="Arial" w:hAnsi="Arial" w:cs="Arial"/>
        </w:rPr>
        <w:t xml:space="preserve"> par secteur d’intervention </w:t>
      </w:r>
    </w:p>
    <w:p w14:paraId="7F24E9CB" w14:textId="77777777" w:rsidR="00AF6206" w:rsidRPr="00456A18" w:rsidRDefault="00AF6206" w:rsidP="003A6335">
      <w:pPr>
        <w:pStyle w:val="Paragraphedeliste"/>
        <w:numPr>
          <w:ilvl w:val="0"/>
          <w:numId w:val="8"/>
        </w:numPr>
        <w:jc w:val="both"/>
        <w:rPr>
          <w:rFonts w:ascii="Arial" w:hAnsi="Arial" w:cs="Arial"/>
        </w:rPr>
      </w:pPr>
      <w:r w:rsidRPr="00456A18">
        <w:rPr>
          <w:rFonts w:ascii="Arial" w:hAnsi="Arial" w:cs="Arial"/>
        </w:rPr>
        <w:t>Pérennité des projets sur trois ans</w:t>
      </w:r>
    </w:p>
    <w:p w14:paraId="53A2F103" w14:textId="77777777" w:rsidR="00BA7D75" w:rsidRPr="00456A18" w:rsidRDefault="00146B0C" w:rsidP="003A6335">
      <w:pPr>
        <w:pStyle w:val="Paragraphedeliste"/>
        <w:numPr>
          <w:ilvl w:val="0"/>
          <w:numId w:val="8"/>
        </w:numPr>
        <w:jc w:val="both"/>
        <w:rPr>
          <w:rFonts w:ascii="Arial" w:hAnsi="Arial" w:cs="Arial"/>
        </w:rPr>
      </w:pPr>
      <w:r w:rsidRPr="00456A18">
        <w:rPr>
          <w:rFonts w:ascii="Arial" w:hAnsi="Arial" w:cs="Arial"/>
        </w:rPr>
        <w:t xml:space="preserve">Effet de levier pour chaque dollar investi </w:t>
      </w:r>
    </w:p>
    <w:p w14:paraId="2D04D5CF" w14:textId="77777777" w:rsidR="00146B0C" w:rsidRPr="00456A18" w:rsidRDefault="00146B0C" w:rsidP="003A6335">
      <w:pPr>
        <w:pStyle w:val="Paragraphedeliste"/>
        <w:numPr>
          <w:ilvl w:val="0"/>
          <w:numId w:val="8"/>
        </w:numPr>
        <w:jc w:val="both"/>
        <w:rPr>
          <w:rFonts w:ascii="Arial" w:hAnsi="Arial" w:cs="Arial"/>
        </w:rPr>
      </w:pPr>
      <w:r w:rsidRPr="00456A18">
        <w:rPr>
          <w:rFonts w:ascii="Arial" w:hAnsi="Arial" w:cs="Arial"/>
        </w:rPr>
        <w:t>Emplois créés</w:t>
      </w:r>
    </w:p>
    <w:p w14:paraId="2D8B383F" w14:textId="77777777" w:rsidR="00146B0C" w:rsidRPr="00456A18" w:rsidRDefault="00146B0C" w:rsidP="003A6335">
      <w:pPr>
        <w:pStyle w:val="Paragraphedeliste"/>
        <w:numPr>
          <w:ilvl w:val="0"/>
          <w:numId w:val="8"/>
        </w:numPr>
        <w:jc w:val="both"/>
        <w:rPr>
          <w:rFonts w:ascii="Arial" w:hAnsi="Arial" w:cs="Arial"/>
        </w:rPr>
      </w:pPr>
      <w:r w:rsidRPr="00456A18">
        <w:rPr>
          <w:rFonts w:ascii="Arial" w:hAnsi="Arial" w:cs="Arial"/>
        </w:rPr>
        <w:t xml:space="preserve">Emplois consolidés </w:t>
      </w:r>
    </w:p>
    <w:p w14:paraId="50F99EC1" w14:textId="77777777" w:rsidR="00146B0C" w:rsidRPr="00456A18" w:rsidRDefault="00BB123D" w:rsidP="003A6335">
      <w:pPr>
        <w:pStyle w:val="Paragraphedeliste"/>
        <w:numPr>
          <w:ilvl w:val="0"/>
          <w:numId w:val="8"/>
        </w:numPr>
        <w:jc w:val="both"/>
        <w:rPr>
          <w:rFonts w:ascii="Arial" w:hAnsi="Arial" w:cs="Arial"/>
        </w:rPr>
      </w:pPr>
      <w:r w:rsidRPr="00456A18">
        <w:rPr>
          <w:rFonts w:ascii="Arial" w:hAnsi="Arial" w:cs="Arial"/>
        </w:rPr>
        <w:t>Dollars investis par type de demandeurs</w:t>
      </w:r>
    </w:p>
    <w:p w14:paraId="134C3219" w14:textId="77777777" w:rsidR="00BB123D" w:rsidRPr="00456A18" w:rsidRDefault="00EF3B1D" w:rsidP="003A6335">
      <w:pPr>
        <w:pStyle w:val="Paragraphedeliste"/>
        <w:numPr>
          <w:ilvl w:val="0"/>
          <w:numId w:val="8"/>
        </w:numPr>
        <w:jc w:val="both"/>
        <w:rPr>
          <w:rFonts w:ascii="Arial" w:hAnsi="Arial" w:cs="Arial"/>
        </w:rPr>
      </w:pPr>
      <w:r w:rsidRPr="00456A18">
        <w:rPr>
          <w:rFonts w:ascii="Arial" w:hAnsi="Arial" w:cs="Arial"/>
        </w:rPr>
        <w:t xml:space="preserve">Dollars investis par résident de la municipalité </w:t>
      </w:r>
    </w:p>
    <w:p w14:paraId="6D2AB6B5" w14:textId="1661FDA4" w:rsidR="00AC1D8A" w:rsidRDefault="008B66A3" w:rsidP="003A6335">
      <w:pPr>
        <w:pStyle w:val="Titre1"/>
        <w:jc w:val="both"/>
        <w:rPr>
          <w:rFonts w:ascii="Arial" w:hAnsi="Arial" w:cs="Arial"/>
        </w:rPr>
      </w:pPr>
      <w:bookmarkStart w:id="26" w:name="_Toc66453637"/>
      <w:r w:rsidRPr="00456A18">
        <w:rPr>
          <w:rFonts w:ascii="Arial" w:hAnsi="Arial" w:cs="Arial"/>
        </w:rPr>
        <w:t>RÉSULTATS ATTENDUS</w:t>
      </w:r>
      <w:bookmarkEnd w:id="26"/>
    </w:p>
    <w:p w14:paraId="1DF9E20E" w14:textId="77777777" w:rsidR="00B95704" w:rsidRDefault="00B95704" w:rsidP="00B95704">
      <w:pPr>
        <w:spacing w:after="0" w:line="240" w:lineRule="auto"/>
        <w:jc w:val="both"/>
        <w:rPr>
          <w:rFonts w:ascii="Arial" w:hAnsi="Arial" w:cs="Arial"/>
        </w:rPr>
      </w:pPr>
    </w:p>
    <w:p w14:paraId="1AB01E7D" w14:textId="426B005E" w:rsidR="0034358B" w:rsidRPr="00456A18" w:rsidRDefault="00A23D29" w:rsidP="00B95704">
      <w:pPr>
        <w:spacing w:after="0" w:line="240" w:lineRule="auto"/>
        <w:jc w:val="both"/>
        <w:rPr>
          <w:rFonts w:ascii="Arial" w:hAnsi="Arial" w:cs="Arial"/>
        </w:rPr>
      </w:pPr>
      <w:r w:rsidRPr="00456A18">
        <w:rPr>
          <w:rFonts w:ascii="Arial" w:hAnsi="Arial" w:cs="Arial"/>
        </w:rPr>
        <w:t xml:space="preserve">À </w:t>
      </w:r>
      <w:r w:rsidR="00B31E92" w:rsidRPr="00456A18">
        <w:rPr>
          <w:rFonts w:ascii="Arial" w:hAnsi="Arial" w:cs="Arial"/>
        </w:rPr>
        <w:t xml:space="preserve">l’échéance du programme, soit le </w:t>
      </w:r>
      <w:r w:rsidR="00893C57" w:rsidRPr="00456A18">
        <w:rPr>
          <w:rFonts w:ascii="Arial" w:hAnsi="Arial" w:cs="Arial"/>
        </w:rPr>
        <w:t xml:space="preserve">31 décembre 2025, le conseil de la MRC de Témiscouata s’attend à </w:t>
      </w:r>
      <w:r w:rsidR="00554E04" w:rsidRPr="00456A18">
        <w:rPr>
          <w:rFonts w:ascii="Arial" w:hAnsi="Arial" w:cs="Arial"/>
        </w:rPr>
        <w:t xml:space="preserve">ce que les projets soutenus aient eu un effet notable sur la vitalité de l’ensemble du territoire. </w:t>
      </w:r>
      <w:r w:rsidR="00E85713" w:rsidRPr="00456A18">
        <w:rPr>
          <w:rFonts w:ascii="Arial" w:hAnsi="Arial" w:cs="Arial"/>
        </w:rPr>
        <w:t xml:space="preserve">Globalement, l’indice de </w:t>
      </w:r>
      <w:r w:rsidR="00E03752" w:rsidRPr="00456A18">
        <w:rPr>
          <w:rFonts w:ascii="Arial" w:hAnsi="Arial" w:cs="Arial"/>
        </w:rPr>
        <w:t xml:space="preserve">vitalité économique de la région sera meilleur qu’en 2019, notamment en ce qui a trait à la croissance de la population. </w:t>
      </w:r>
      <w:r w:rsidR="0098361E" w:rsidRPr="00456A18">
        <w:rPr>
          <w:rFonts w:ascii="Arial" w:hAnsi="Arial" w:cs="Arial"/>
        </w:rPr>
        <w:t>Plus spécifiquement, ce sera le cas des municipalités Q5</w:t>
      </w:r>
      <w:r w:rsidR="0088231C" w:rsidRPr="00456A18">
        <w:rPr>
          <w:rFonts w:ascii="Arial" w:hAnsi="Arial" w:cs="Arial"/>
        </w:rPr>
        <w:t xml:space="preserve"> qui auront connu un essor pendant cette période. </w:t>
      </w:r>
    </w:p>
    <w:p w14:paraId="718E6811" w14:textId="77777777" w:rsidR="00FD0C27" w:rsidRPr="00456A18" w:rsidRDefault="00FD0C27" w:rsidP="003A6335">
      <w:pPr>
        <w:jc w:val="both"/>
        <w:rPr>
          <w:rFonts w:ascii="Arial" w:hAnsi="Arial" w:cs="Arial"/>
        </w:rPr>
      </w:pPr>
    </w:p>
    <w:sectPr w:rsidR="00FD0C27" w:rsidRPr="00456A1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AE817" w14:textId="77777777" w:rsidR="00794E03" w:rsidRDefault="00794E03" w:rsidP="005C7194">
      <w:pPr>
        <w:spacing w:after="0" w:line="240" w:lineRule="auto"/>
      </w:pPr>
      <w:r>
        <w:separator/>
      </w:r>
    </w:p>
  </w:endnote>
  <w:endnote w:type="continuationSeparator" w:id="0">
    <w:p w14:paraId="1C192B94" w14:textId="77777777" w:rsidR="00794E03" w:rsidRDefault="00794E03" w:rsidP="005C7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9F89C" w14:textId="77777777" w:rsidR="00806E12" w:rsidRDefault="00806E1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9276929"/>
      <w:docPartObj>
        <w:docPartGallery w:val="Page Numbers (Bottom of Page)"/>
        <w:docPartUnique/>
      </w:docPartObj>
    </w:sdtPr>
    <w:sdtEndPr/>
    <w:sdtContent>
      <w:p w14:paraId="0E9DD8D4" w14:textId="3D027484" w:rsidR="005C7194" w:rsidRDefault="005C7194">
        <w:pPr>
          <w:pStyle w:val="Pieddepage"/>
          <w:jc w:val="right"/>
        </w:pPr>
        <w:r>
          <w:fldChar w:fldCharType="begin"/>
        </w:r>
        <w:r>
          <w:instrText>PAGE   \* MERGEFORMAT</w:instrText>
        </w:r>
        <w:r>
          <w:fldChar w:fldCharType="separate"/>
        </w:r>
        <w:r>
          <w:rPr>
            <w:lang w:val="fr-FR"/>
          </w:rPr>
          <w:t>2</w:t>
        </w:r>
        <w:r>
          <w:fldChar w:fldCharType="end"/>
        </w:r>
      </w:p>
    </w:sdtContent>
  </w:sdt>
  <w:p w14:paraId="122CD047" w14:textId="4E0672AD" w:rsidR="005C7194" w:rsidRDefault="005C719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BA52D" w14:textId="77777777" w:rsidR="00806E12" w:rsidRDefault="00806E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B6822" w14:textId="77777777" w:rsidR="00794E03" w:rsidRDefault="00794E03" w:rsidP="005C7194">
      <w:pPr>
        <w:spacing w:after="0" w:line="240" w:lineRule="auto"/>
      </w:pPr>
      <w:r>
        <w:separator/>
      </w:r>
    </w:p>
  </w:footnote>
  <w:footnote w:type="continuationSeparator" w:id="0">
    <w:p w14:paraId="27D94D86" w14:textId="77777777" w:rsidR="00794E03" w:rsidRDefault="00794E03" w:rsidP="005C7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F2379" w14:textId="77777777" w:rsidR="00806E12" w:rsidRDefault="00806E1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63B78" w14:textId="77777777" w:rsidR="00806E12" w:rsidRDefault="00806E1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AAA1F" w14:textId="77777777" w:rsidR="00806E12" w:rsidRDefault="00806E1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6C1567A"/>
    <w:multiLevelType w:val="hybridMultilevel"/>
    <w:tmpl w:val="B288BB48"/>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43C757C"/>
    <w:multiLevelType w:val="hybridMultilevel"/>
    <w:tmpl w:val="521095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A5970D9"/>
    <w:multiLevelType w:val="multilevel"/>
    <w:tmpl w:val="F5648E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092E9B"/>
    <w:multiLevelType w:val="multilevel"/>
    <w:tmpl w:val="640212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0D505F5"/>
    <w:multiLevelType w:val="hybridMultilevel"/>
    <w:tmpl w:val="9BA0F978"/>
    <w:lvl w:ilvl="0" w:tplc="A052D1D2">
      <w:start w:val="1"/>
      <w:numFmt w:val="bullet"/>
      <w:lvlText w:val="•"/>
      <w:lvlJc w:val="left"/>
      <w:pPr>
        <w:tabs>
          <w:tab w:val="num" w:pos="720"/>
        </w:tabs>
        <w:ind w:left="720" w:hanging="360"/>
      </w:pPr>
      <w:rPr>
        <w:rFonts w:ascii="Arial" w:hAnsi="Arial" w:hint="default"/>
      </w:rPr>
    </w:lvl>
    <w:lvl w:ilvl="1" w:tplc="FE0809BE" w:tentative="1">
      <w:start w:val="1"/>
      <w:numFmt w:val="bullet"/>
      <w:lvlText w:val="•"/>
      <w:lvlJc w:val="left"/>
      <w:pPr>
        <w:tabs>
          <w:tab w:val="num" w:pos="1440"/>
        </w:tabs>
        <w:ind w:left="1440" w:hanging="360"/>
      </w:pPr>
      <w:rPr>
        <w:rFonts w:ascii="Arial" w:hAnsi="Arial" w:hint="default"/>
      </w:rPr>
    </w:lvl>
    <w:lvl w:ilvl="2" w:tplc="1054D34C">
      <w:start w:val="1"/>
      <w:numFmt w:val="decimal"/>
      <w:lvlText w:val="%3."/>
      <w:lvlJc w:val="left"/>
      <w:pPr>
        <w:tabs>
          <w:tab w:val="num" w:pos="2160"/>
        </w:tabs>
        <w:ind w:left="2160" w:hanging="360"/>
      </w:pPr>
      <w:rPr>
        <w:rFonts w:asciiTheme="minorHAnsi" w:eastAsiaTheme="minorHAnsi" w:hAnsiTheme="minorHAnsi" w:cstheme="minorBidi"/>
      </w:rPr>
    </w:lvl>
    <w:lvl w:ilvl="3" w:tplc="49B62600" w:tentative="1">
      <w:start w:val="1"/>
      <w:numFmt w:val="bullet"/>
      <w:lvlText w:val="•"/>
      <w:lvlJc w:val="left"/>
      <w:pPr>
        <w:tabs>
          <w:tab w:val="num" w:pos="2880"/>
        </w:tabs>
        <w:ind w:left="2880" w:hanging="360"/>
      </w:pPr>
      <w:rPr>
        <w:rFonts w:ascii="Arial" w:hAnsi="Arial" w:hint="default"/>
      </w:rPr>
    </w:lvl>
    <w:lvl w:ilvl="4" w:tplc="324CE734" w:tentative="1">
      <w:start w:val="1"/>
      <w:numFmt w:val="bullet"/>
      <w:lvlText w:val="•"/>
      <w:lvlJc w:val="left"/>
      <w:pPr>
        <w:tabs>
          <w:tab w:val="num" w:pos="3600"/>
        </w:tabs>
        <w:ind w:left="3600" w:hanging="360"/>
      </w:pPr>
      <w:rPr>
        <w:rFonts w:ascii="Arial" w:hAnsi="Arial" w:hint="default"/>
      </w:rPr>
    </w:lvl>
    <w:lvl w:ilvl="5" w:tplc="3906E8EC" w:tentative="1">
      <w:start w:val="1"/>
      <w:numFmt w:val="bullet"/>
      <w:lvlText w:val="•"/>
      <w:lvlJc w:val="left"/>
      <w:pPr>
        <w:tabs>
          <w:tab w:val="num" w:pos="4320"/>
        </w:tabs>
        <w:ind w:left="4320" w:hanging="360"/>
      </w:pPr>
      <w:rPr>
        <w:rFonts w:ascii="Arial" w:hAnsi="Arial" w:hint="default"/>
      </w:rPr>
    </w:lvl>
    <w:lvl w:ilvl="6" w:tplc="5040FAAA" w:tentative="1">
      <w:start w:val="1"/>
      <w:numFmt w:val="bullet"/>
      <w:lvlText w:val="•"/>
      <w:lvlJc w:val="left"/>
      <w:pPr>
        <w:tabs>
          <w:tab w:val="num" w:pos="5040"/>
        </w:tabs>
        <w:ind w:left="5040" w:hanging="360"/>
      </w:pPr>
      <w:rPr>
        <w:rFonts w:ascii="Arial" w:hAnsi="Arial" w:hint="default"/>
      </w:rPr>
    </w:lvl>
    <w:lvl w:ilvl="7" w:tplc="09D0D63A" w:tentative="1">
      <w:start w:val="1"/>
      <w:numFmt w:val="bullet"/>
      <w:lvlText w:val="•"/>
      <w:lvlJc w:val="left"/>
      <w:pPr>
        <w:tabs>
          <w:tab w:val="num" w:pos="5760"/>
        </w:tabs>
        <w:ind w:left="5760" w:hanging="360"/>
      </w:pPr>
      <w:rPr>
        <w:rFonts w:ascii="Arial" w:hAnsi="Arial" w:hint="default"/>
      </w:rPr>
    </w:lvl>
    <w:lvl w:ilvl="8" w:tplc="106A2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DF478EC"/>
    <w:multiLevelType w:val="multilevel"/>
    <w:tmpl w:val="7A92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455BF5"/>
    <w:multiLevelType w:val="hybridMultilevel"/>
    <w:tmpl w:val="225EF24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50F51BE1"/>
    <w:multiLevelType w:val="hybridMultilevel"/>
    <w:tmpl w:val="7A9C1620"/>
    <w:lvl w:ilvl="0" w:tplc="FFFFFFFF">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F182EF1"/>
    <w:multiLevelType w:val="hybridMultilevel"/>
    <w:tmpl w:val="2E606D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506556061">
    <w:abstractNumId w:val="0"/>
  </w:num>
  <w:num w:numId="2" w16cid:durableId="133261470">
    <w:abstractNumId w:val="4"/>
  </w:num>
  <w:num w:numId="3" w16cid:durableId="33227077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16cid:durableId="23444145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16cid:durableId="1907566981">
    <w:abstractNumId w:val="3"/>
  </w:num>
  <w:num w:numId="6" w16cid:durableId="1552308071">
    <w:abstractNumId w:val="1"/>
  </w:num>
  <w:num w:numId="7" w16cid:durableId="270363628">
    <w:abstractNumId w:val="8"/>
  </w:num>
  <w:num w:numId="8" w16cid:durableId="380447673">
    <w:abstractNumId w:val="7"/>
  </w:num>
  <w:num w:numId="9" w16cid:durableId="4685969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6D9"/>
    <w:rsid w:val="00006C89"/>
    <w:rsid w:val="00017BAA"/>
    <w:rsid w:val="00020218"/>
    <w:rsid w:val="00022115"/>
    <w:rsid w:val="000239CC"/>
    <w:rsid w:val="000425D5"/>
    <w:rsid w:val="000466CB"/>
    <w:rsid w:val="000655FE"/>
    <w:rsid w:val="00066DCE"/>
    <w:rsid w:val="00071072"/>
    <w:rsid w:val="000711A9"/>
    <w:rsid w:val="0007192C"/>
    <w:rsid w:val="000726AD"/>
    <w:rsid w:val="0008489F"/>
    <w:rsid w:val="000D0C74"/>
    <w:rsid w:val="000D7AFF"/>
    <w:rsid w:val="0010176B"/>
    <w:rsid w:val="0012235A"/>
    <w:rsid w:val="00125583"/>
    <w:rsid w:val="00143BD5"/>
    <w:rsid w:val="00146B0C"/>
    <w:rsid w:val="0015270D"/>
    <w:rsid w:val="00155ECE"/>
    <w:rsid w:val="00156CFA"/>
    <w:rsid w:val="00164221"/>
    <w:rsid w:val="001754A8"/>
    <w:rsid w:val="00183EE6"/>
    <w:rsid w:val="00192788"/>
    <w:rsid w:val="001A22FB"/>
    <w:rsid w:val="001C66EE"/>
    <w:rsid w:val="001C7E01"/>
    <w:rsid w:val="001E0ED6"/>
    <w:rsid w:val="0022545D"/>
    <w:rsid w:val="002327E0"/>
    <w:rsid w:val="00236443"/>
    <w:rsid w:val="00242B9D"/>
    <w:rsid w:val="00244D6C"/>
    <w:rsid w:val="00265A62"/>
    <w:rsid w:val="00267D4C"/>
    <w:rsid w:val="00271CB1"/>
    <w:rsid w:val="00275A30"/>
    <w:rsid w:val="00290761"/>
    <w:rsid w:val="002939FF"/>
    <w:rsid w:val="002A04D4"/>
    <w:rsid w:val="002A662F"/>
    <w:rsid w:val="002E56F2"/>
    <w:rsid w:val="00310B98"/>
    <w:rsid w:val="00321C36"/>
    <w:rsid w:val="0034358B"/>
    <w:rsid w:val="003775E7"/>
    <w:rsid w:val="00385C62"/>
    <w:rsid w:val="003866DE"/>
    <w:rsid w:val="00394117"/>
    <w:rsid w:val="003A24F1"/>
    <w:rsid w:val="003A6335"/>
    <w:rsid w:val="003A7834"/>
    <w:rsid w:val="003B1031"/>
    <w:rsid w:val="003C6933"/>
    <w:rsid w:val="003D1B30"/>
    <w:rsid w:val="003E2FB3"/>
    <w:rsid w:val="003E4172"/>
    <w:rsid w:val="003F1390"/>
    <w:rsid w:val="003F71A0"/>
    <w:rsid w:val="00400E5A"/>
    <w:rsid w:val="0040494C"/>
    <w:rsid w:val="004054D4"/>
    <w:rsid w:val="00411B32"/>
    <w:rsid w:val="0041606E"/>
    <w:rsid w:val="0041761E"/>
    <w:rsid w:val="00423541"/>
    <w:rsid w:val="004450FB"/>
    <w:rsid w:val="00454755"/>
    <w:rsid w:val="00456A18"/>
    <w:rsid w:val="0046035A"/>
    <w:rsid w:val="00466EA6"/>
    <w:rsid w:val="00472843"/>
    <w:rsid w:val="00480965"/>
    <w:rsid w:val="00481936"/>
    <w:rsid w:val="004A0530"/>
    <w:rsid w:val="004E58ED"/>
    <w:rsid w:val="004F3448"/>
    <w:rsid w:val="004F73D9"/>
    <w:rsid w:val="004F7C34"/>
    <w:rsid w:val="00502FA3"/>
    <w:rsid w:val="0050564E"/>
    <w:rsid w:val="0052277C"/>
    <w:rsid w:val="0054013B"/>
    <w:rsid w:val="00554E04"/>
    <w:rsid w:val="00563AE0"/>
    <w:rsid w:val="00574110"/>
    <w:rsid w:val="0057486E"/>
    <w:rsid w:val="005828A8"/>
    <w:rsid w:val="00582F1D"/>
    <w:rsid w:val="00585994"/>
    <w:rsid w:val="00586277"/>
    <w:rsid w:val="005B60F5"/>
    <w:rsid w:val="005C41D4"/>
    <w:rsid w:val="005C7194"/>
    <w:rsid w:val="005E0FA0"/>
    <w:rsid w:val="005E2EBF"/>
    <w:rsid w:val="005F1ADE"/>
    <w:rsid w:val="00601BDD"/>
    <w:rsid w:val="0060481C"/>
    <w:rsid w:val="00612BFF"/>
    <w:rsid w:val="00622654"/>
    <w:rsid w:val="0063352E"/>
    <w:rsid w:val="00641B2C"/>
    <w:rsid w:val="00651EF0"/>
    <w:rsid w:val="00692CA7"/>
    <w:rsid w:val="0069375D"/>
    <w:rsid w:val="006B4C17"/>
    <w:rsid w:val="006C22D0"/>
    <w:rsid w:val="006E0037"/>
    <w:rsid w:val="006E772E"/>
    <w:rsid w:val="006E7B6E"/>
    <w:rsid w:val="006F1C1D"/>
    <w:rsid w:val="0070554F"/>
    <w:rsid w:val="007104C8"/>
    <w:rsid w:val="00710969"/>
    <w:rsid w:val="0071224E"/>
    <w:rsid w:val="00712310"/>
    <w:rsid w:val="00715B9F"/>
    <w:rsid w:val="00720594"/>
    <w:rsid w:val="007227C5"/>
    <w:rsid w:val="00733B29"/>
    <w:rsid w:val="00736424"/>
    <w:rsid w:val="00742B46"/>
    <w:rsid w:val="00761214"/>
    <w:rsid w:val="0076486F"/>
    <w:rsid w:val="007747AF"/>
    <w:rsid w:val="007817EB"/>
    <w:rsid w:val="0079320C"/>
    <w:rsid w:val="00794E03"/>
    <w:rsid w:val="00794F91"/>
    <w:rsid w:val="007B0281"/>
    <w:rsid w:val="007B67F3"/>
    <w:rsid w:val="007C5A83"/>
    <w:rsid w:val="007C7ACC"/>
    <w:rsid w:val="007D5076"/>
    <w:rsid w:val="00800812"/>
    <w:rsid w:val="0080361F"/>
    <w:rsid w:val="00806E12"/>
    <w:rsid w:val="008121C9"/>
    <w:rsid w:val="00823D1E"/>
    <w:rsid w:val="00836EE7"/>
    <w:rsid w:val="00837693"/>
    <w:rsid w:val="008433CF"/>
    <w:rsid w:val="0084419F"/>
    <w:rsid w:val="00850ED9"/>
    <w:rsid w:val="0086407F"/>
    <w:rsid w:val="00867BDD"/>
    <w:rsid w:val="0088231C"/>
    <w:rsid w:val="008842ED"/>
    <w:rsid w:val="00885210"/>
    <w:rsid w:val="0089382C"/>
    <w:rsid w:val="00893C57"/>
    <w:rsid w:val="008B4B83"/>
    <w:rsid w:val="008B66A3"/>
    <w:rsid w:val="008C7D19"/>
    <w:rsid w:val="008F3A80"/>
    <w:rsid w:val="009318CF"/>
    <w:rsid w:val="009336E2"/>
    <w:rsid w:val="0094158B"/>
    <w:rsid w:val="00957B5F"/>
    <w:rsid w:val="0098361E"/>
    <w:rsid w:val="00993969"/>
    <w:rsid w:val="00994FA8"/>
    <w:rsid w:val="009C28D7"/>
    <w:rsid w:val="009C3AC9"/>
    <w:rsid w:val="009D5EE2"/>
    <w:rsid w:val="009D7666"/>
    <w:rsid w:val="009E4806"/>
    <w:rsid w:val="00A009E2"/>
    <w:rsid w:val="00A17D6D"/>
    <w:rsid w:val="00A23D29"/>
    <w:rsid w:val="00A32EED"/>
    <w:rsid w:val="00A43D98"/>
    <w:rsid w:val="00A5646D"/>
    <w:rsid w:val="00A5758D"/>
    <w:rsid w:val="00A57BCC"/>
    <w:rsid w:val="00A80B67"/>
    <w:rsid w:val="00A9185F"/>
    <w:rsid w:val="00A93192"/>
    <w:rsid w:val="00A96A09"/>
    <w:rsid w:val="00A97155"/>
    <w:rsid w:val="00A975F3"/>
    <w:rsid w:val="00AA1E23"/>
    <w:rsid w:val="00AA6EC7"/>
    <w:rsid w:val="00AB0EAD"/>
    <w:rsid w:val="00AB11F8"/>
    <w:rsid w:val="00AB734D"/>
    <w:rsid w:val="00AC1697"/>
    <w:rsid w:val="00AC1D8A"/>
    <w:rsid w:val="00AC2DB8"/>
    <w:rsid w:val="00AD560D"/>
    <w:rsid w:val="00AE63FC"/>
    <w:rsid w:val="00AF3B3C"/>
    <w:rsid w:val="00AF6206"/>
    <w:rsid w:val="00B004DA"/>
    <w:rsid w:val="00B0519F"/>
    <w:rsid w:val="00B25035"/>
    <w:rsid w:val="00B255B1"/>
    <w:rsid w:val="00B31E92"/>
    <w:rsid w:val="00B4400C"/>
    <w:rsid w:val="00B5032A"/>
    <w:rsid w:val="00B55254"/>
    <w:rsid w:val="00B55F16"/>
    <w:rsid w:val="00B760D5"/>
    <w:rsid w:val="00B82A1A"/>
    <w:rsid w:val="00B875B0"/>
    <w:rsid w:val="00B928B7"/>
    <w:rsid w:val="00B95704"/>
    <w:rsid w:val="00BA777B"/>
    <w:rsid w:val="00BA7D75"/>
    <w:rsid w:val="00BB123D"/>
    <w:rsid w:val="00BC719D"/>
    <w:rsid w:val="00BD2857"/>
    <w:rsid w:val="00BF4E4D"/>
    <w:rsid w:val="00C11872"/>
    <w:rsid w:val="00C172F2"/>
    <w:rsid w:val="00C2472E"/>
    <w:rsid w:val="00C337BF"/>
    <w:rsid w:val="00C41ECF"/>
    <w:rsid w:val="00C6324D"/>
    <w:rsid w:val="00C635C9"/>
    <w:rsid w:val="00C67BA5"/>
    <w:rsid w:val="00C75C5D"/>
    <w:rsid w:val="00C82003"/>
    <w:rsid w:val="00CA0789"/>
    <w:rsid w:val="00CA2328"/>
    <w:rsid w:val="00CA553E"/>
    <w:rsid w:val="00CC06D7"/>
    <w:rsid w:val="00CC451C"/>
    <w:rsid w:val="00CC6077"/>
    <w:rsid w:val="00CD5B71"/>
    <w:rsid w:val="00CE156F"/>
    <w:rsid w:val="00CE29DA"/>
    <w:rsid w:val="00CE38F7"/>
    <w:rsid w:val="00CE5D8D"/>
    <w:rsid w:val="00D055C4"/>
    <w:rsid w:val="00D17BCA"/>
    <w:rsid w:val="00D24326"/>
    <w:rsid w:val="00D536D9"/>
    <w:rsid w:val="00D55B38"/>
    <w:rsid w:val="00D64489"/>
    <w:rsid w:val="00D64909"/>
    <w:rsid w:val="00D84FBA"/>
    <w:rsid w:val="00D95740"/>
    <w:rsid w:val="00DA2349"/>
    <w:rsid w:val="00DA5604"/>
    <w:rsid w:val="00DA7095"/>
    <w:rsid w:val="00E03752"/>
    <w:rsid w:val="00E10044"/>
    <w:rsid w:val="00E102BA"/>
    <w:rsid w:val="00E16B16"/>
    <w:rsid w:val="00E22C07"/>
    <w:rsid w:val="00E311FF"/>
    <w:rsid w:val="00E3570F"/>
    <w:rsid w:val="00E50DD2"/>
    <w:rsid w:val="00E53FBC"/>
    <w:rsid w:val="00E542A4"/>
    <w:rsid w:val="00E60F66"/>
    <w:rsid w:val="00E64965"/>
    <w:rsid w:val="00E64F2A"/>
    <w:rsid w:val="00E72877"/>
    <w:rsid w:val="00E85713"/>
    <w:rsid w:val="00EB1592"/>
    <w:rsid w:val="00EB309F"/>
    <w:rsid w:val="00EB4590"/>
    <w:rsid w:val="00EB7EB2"/>
    <w:rsid w:val="00EF3B1D"/>
    <w:rsid w:val="00F07E83"/>
    <w:rsid w:val="00F375FC"/>
    <w:rsid w:val="00F5352B"/>
    <w:rsid w:val="00F535E0"/>
    <w:rsid w:val="00F5788E"/>
    <w:rsid w:val="00F66AB2"/>
    <w:rsid w:val="00F8115B"/>
    <w:rsid w:val="00F86BBB"/>
    <w:rsid w:val="00F92982"/>
    <w:rsid w:val="00FD01D0"/>
    <w:rsid w:val="00FD0C27"/>
    <w:rsid w:val="00FD15B2"/>
    <w:rsid w:val="00FD2D73"/>
    <w:rsid w:val="00FD3430"/>
    <w:rsid w:val="00FE0C85"/>
    <w:rsid w:val="00FE7EE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07AE44"/>
  <w15:chartTrackingRefBased/>
  <w15:docId w15:val="{8DFE7472-CA04-44AF-8A26-7DA2FDD4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100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E100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E1004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36D9"/>
    <w:pPr>
      <w:ind w:left="720"/>
      <w:contextualSpacing/>
    </w:pPr>
  </w:style>
  <w:style w:type="paragraph" w:styleId="Textedebulles">
    <w:name w:val="Balloon Text"/>
    <w:basedOn w:val="Normal"/>
    <w:link w:val="TextedebullesCar"/>
    <w:uiPriority w:val="99"/>
    <w:semiHidden/>
    <w:unhideWhenUsed/>
    <w:rsid w:val="009336E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36E2"/>
    <w:rPr>
      <w:rFonts w:ascii="Segoe UI" w:hAnsi="Segoe UI" w:cs="Segoe UI"/>
      <w:sz w:val="18"/>
      <w:szCs w:val="18"/>
    </w:rPr>
  </w:style>
  <w:style w:type="character" w:styleId="Lienhypertexte">
    <w:name w:val="Hyperlink"/>
    <w:basedOn w:val="Policepardfaut"/>
    <w:uiPriority w:val="99"/>
    <w:unhideWhenUsed/>
    <w:rsid w:val="00267D4C"/>
    <w:rPr>
      <w:color w:val="165580"/>
      <w:u w:val="single"/>
    </w:rPr>
  </w:style>
  <w:style w:type="character" w:customStyle="1" w:styleId="textenormal1">
    <w:name w:val="textenormal1"/>
    <w:basedOn w:val="Policepardfaut"/>
    <w:rsid w:val="00267D4C"/>
    <w:rPr>
      <w:rFonts w:ascii="Arial" w:hAnsi="Arial" w:cs="Arial" w:hint="default"/>
      <w:sz w:val="20"/>
      <w:szCs w:val="20"/>
    </w:rPr>
  </w:style>
  <w:style w:type="paragraph" w:customStyle="1" w:styleId="Default">
    <w:name w:val="Default"/>
    <w:rsid w:val="007747AF"/>
    <w:pPr>
      <w:autoSpaceDE w:val="0"/>
      <w:autoSpaceDN w:val="0"/>
      <w:adjustRightInd w:val="0"/>
      <w:spacing w:after="0" w:line="240" w:lineRule="auto"/>
    </w:pPr>
    <w:rPr>
      <w:rFonts w:ascii="Century Gothic" w:hAnsi="Century Gothic" w:cs="Century Gothic"/>
      <w:color w:val="000000"/>
      <w:sz w:val="24"/>
      <w:szCs w:val="24"/>
    </w:rPr>
  </w:style>
  <w:style w:type="character" w:styleId="Marquedecommentaire">
    <w:name w:val="annotation reference"/>
    <w:basedOn w:val="Policepardfaut"/>
    <w:uiPriority w:val="99"/>
    <w:semiHidden/>
    <w:unhideWhenUsed/>
    <w:rsid w:val="00156CFA"/>
    <w:rPr>
      <w:sz w:val="16"/>
      <w:szCs w:val="16"/>
    </w:rPr>
  </w:style>
  <w:style w:type="paragraph" w:styleId="Commentaire">
    <w:name w:val="annotation text"/>
    <w:basedOn w:val="Normal"/>
    <w:link w:val="CommentaireCar"/>
    <w:uiPriority w:val="99"/>
    <w:semiHidden/>
    <w:unhideWhenUsed/>
    <w:rsid w:val="00156CFA"/>
    <w:pPr>
      <w:spacing w:line="240" w:lineRule="auto"/>
    </w:pPr>
    <w:rPr>
      <w:sz w:val="20"/>
      <w:szCs w:val="20"/>
    </w:rPr>
  </w:style>
  <w:style w:type="character" w:customStyle="1" w:styleId="CommentaireCar">
    <w:name w:val="Commentaire Car"/>
    <w:basedOn w:val="Policepardfaut"/>
    <w:link w:val="Commentaire"/>
    <w:uiPriority w:val="99"/>
    <w:semiHidden/>
    <w:rsid w:val="00156CFA"/>
    <w:rPr>
      <w:sz w:val="20"/>
      <w:szCs w:val="20"/>
    </w:rPr>
  </w:style>
  <w:style w:type="paragraph" w:styleId="Objetducommentaire">
    <w:name w:val="annotation subject"/>
    <w:basedOn w:val="Commentaire"/>
    <w:next w:val="Commentaire"/>
    <w:link w:val="ObjetducommentaireCar"/>
    <w:uiPriority w:val="99"/>
    <w:semiHidden/>
    <w:unhideWhenUsed/>
    <w:rsid w:val="00156CFA"/>
    <w:rPr>
      <w:b/>
      <w:bCs/>
    </w:rPr>
  </w:style>
  <w:style w:type="character" w:customStyle="1" w:styleId="ObjetducommentaireCar">
    <w:name w:val="Objet du commentaire Car"/>
    <w:basedOn w:val="CommentaireCar"/>
    <w:link w:val="Objetducommentaire"/>
    <w:uiPriority w:val="99"/>
    <w:semiHidden/>
    <w:rsid w:val="00156CFA"/>
    <w:rPr>
      <w:b/>
      <w:bCs/>
      <w:sz w:val="20"/>
      <w:szCs w:val="20"/>
    </w:rPr>
  </w:style>
  <w:style w:type="paragraph" w:styleId="En-tte">
    <w:name w:val="header"/>
    <w:basedOn w:val="Normal"/>
    <w:link w:val="En-tteCar"/>
    <w:uiPriority w:val="99"/>
    <w:unhideWhenUsed/>
    <w:rsid w:val="005C7194"/>
    <w:pPr>
      <w:tabs>
        <w:tab w:val="center" w:pos="4320"/>
        <w:tab w:val="right" w:pos="8640"/>
      </w:tabs>
      <w:spacing w:after="0" w:line="240" w:lineRule="auto"/>
    </w:pPr>
  </w:style>
  <w:style w:type="character" w:customStyle="1" w:styleId="En-tteCar">
    <w:name w:val="En-tête Car"/>
    <w:basedOn w:val="Policepardfaut"/>
    <w:link w:val="En-tte"/>
    <w:uiPriority w:val="99"/>
    <w:rsid w:val="005C7194"/>
  </w:style>
  <w:style w:type="paragraph" w:styleId="Pieddepage">
    <w:name w:val="footer"/>
    <w:basedOn w:val="Normal"/>
    <w:link w:val="PieddepageCar"/>
    <w:uiPriority w:val="99"/>
    <w:unhideWhenUsed/>
    <w:rsid w:val="005C719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C7194"/>
  </w:style>
  <w:style w:type="character" w:customStyle="1" w:styleId="Titre1Car">
    <w:name w:val="Titre 1 Car"/>
    <w:basedOn w:val="Policepardfaut"/>
    <w:link w:val="Titre1"/>
    <w:uiPriority w:val="9"/>
    <w:rsid w:val="00E10044"/>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E10044"/>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rsid w:val="00E10044"/>
    <w:rPr>
      <w:rFonts w:asciiTheme="majorHAnsi" w:eastAsiaTheme="majorEastAsia" w:hAnsiTheme="majorHAnsi" w:cstheme="majorBidi"/>
      <w:color w:val="243F60" w:themeColor="accent1" w:themeShade="7F"/>
      <w:sz w:val="24"/>
      <w:szCs w:val="24"/>
    </w:rPr>
  </w:style>
  <w:style w:type="paragraph" w:styleId="En-ttedetabledesmatires">
    <w:name w:val="TOC Heading"/>
    <w:basedOn w:val="Titre1"/>
    <w:next w:val="Normal"/>
    <w:uiPriority w:val="39"/>
    <w:unhideWhenUsed/>
    <w:qFormat/>
    <w:rsid w:val="00A97155"/>
    <w:pPr>
      <w:spacing w:line="259" w:lineRule="auto"/>
      <w:outlineLvl w:val="9"/>
    </w:pPr>
    <w:rPr>
      <w:lang w:eastAsia="fr-CA"/>
    </w:rPr>
  </w:style>
  <w:style w:type="paragraph" w:styleId="TM1">
    <w:name w:val="toc 1"/>
    <w:basedOn w:val="Normal"/>
    <w:next w:val="Normal"/>
    <w:autoRedefine/>
    <w:uiPriority w:val="39"/>
    <w:unhideWhenUsed/>
    <w:rsid w:val="00A97155"/>
    <w:pPr>
      <w:spacing w:after="100"/>
    </w:pPr>
  </w:style>
  <w:style w:type="paragraph" w:styleId="TM2">
    <w:name w:val="toc 2"/>
    <w:basedOn w:val="Normal"/>
    <w:next w:val="Normal"/>
    <w:autoRedefine/>
    <w:uiPriority w:val="39"/>
    <w:unhideWhenUsed/>
    <w:rsid w:val="00A97155"/>
    <w:pPr>
      <w:spacing w:after="100"/>
      <w:ind w:left="220"/>
    </w:pPr>
  </w:style>
  <w:style w:type="paragraph" w:styleId="TM3">
    <w:name w:val="toc 3"/>
    <w:basedOn w:val="Normal"/>
    <w:next w:val="Normal"/>
    <w:autoRedefine/>
    <w:uiPriority w:val="39"/>
    <w:unhideWhenUsed/>
    <w:rsid w:val="00A9715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804000">
      <w:bodyDiv w:val="1"/>
      <w:marLeft w:val="0"/>
      <w:marRight w:val="0"/>
      <w:marTop w:val="0"/>
      <w:marBottom w:val="0"/>
      <w:divBdr>
        <w:top w:val="none" w:sz="0" w:space="0" w:color="auto"/>
        <w:left w:val="none" w:sz="0" w:space="0" w:color="auto"/>
        <w:bottom w:val="none" w:sz="0" w:space="0" w:color="auto"/>
        <w:right w:val="none" w:sz="0" w:space="0" w:color="auto"/>
      </w:divBdr>
      <w:divsChild>
        <w:div w:id="373891830">
          <w:marLeft w:val="1800"/>
          <w:marRight w:val="0"/>
          <w:marTop w:val="100"/>
          <w:marBottom w:val="0"/>
          <w:divBdr>
            <w:top w:val="none" w:sz="0" w:space="0" w:color="auto"/>
            <w:left w:val="none" w:sz="0" w:space="0" w:color="auto"/>
            <w:bottom w:val="none" w:sz="0" w:space="0" w:color="auto"/>
            <w:right w:val="none" w:sz="0" w:space="0" w:color="auto"/>
          </w:divBdr>
        </w:div>
        <w:div w:id="1199465920">
          <w:marLeft w:val="1800"/>
          <w:marRight w:val="0"/>
          <w:marTop w:val="100"/>
          <w:marBottom w:val="0"/>
          <w:divBdr>
            <w:top w:val="none" w:sz="0" w:space="0" w:color="auto"/>
            <w:left w:val="none" w:sz="0" w:space="0" w:color="auto"/>
            <w:bottom w:val="none" w:sz="0" w:space="0" w:color="auto"/>
            <w:right w:val="none" w:sz="0" w:space="0" w:color="auto"/>
          </w:divBdr>
        </w:div>
        <w:div w:id="943345123">
          <w:marLeft w:val="1800"/>
          <w:marRight w:val="0"/>
          <w:marTop w:val="100"/>
          <w:marBottom w:val="0"/>
          <w:divBdr>
            <w:top w:val="none" w:sz="0" w:space="0" w:color="auto"/>
            <w:left w:val="none" w:sz="0" w:space="0" w:color="auto"/>
            <w:bottom w:val="none" w:sz="0" w:space="0" w:color="auto"/>
            <w:right w:val="none" w:sz="0" w:space="0" w:color="auto"/>
          </w:divBdr>
        </w:div>
        <w:div w:id="319046300">
          <w:marLeft w:val="1800"/>
          <w:marRight w:val="0"/>
          <w:marTop w:val="100"/>
          <w:marBottom w:val="0"/>
          <w:divBdr>
            <w:top w:val="none" w:sz="0" w:space="0" w:color="auto"/>
            <w:left w:val="none" w:sz="0" w:space="0" w:color="auto"/>
            <w:bottom w:val="none" w:sz="0" w:space="0" w:color="auto"/>
            <w:right w:val="none" w:sz="0" w:space="0" w:color="auto"/>
          </w:divBdr>
        </w:div>
        <w:div w:id="214095150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58063-79BB-4444-AD8C-D33751FD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3679</Words>
  <Characters>20235</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Ouellet</dc:creator>
  <cp:keywords/>
  <dc:description/>
  <cp:lastModifiedBy>Steve Murray</cp:lastModifiedBy>
  <cp:revision>6</cp:revision>
  <cp:lastPrinted>2021-04-16T13:31:00Z</cp:lastPrinted>
  <dcterms:created xsi:type="dcterms:W3CDTF">2022-06-03T17:43:00Z</dcterms:created>
  <dcterms:modified xsi:type="dcterms:W3CDTF">2024-06-17T23:36:00Z</dcterms:modified>
</cp:coreProperties>
</file>